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both"/>
        <w:rPr>
          <w:rFonts w:hint="default" w:ascii="Times New Roman" w:hAnsi="Times New Roman" w:eastAsia="华文新魏" w:cs="Times New Roman"/>
          <w:color w:val="000000"/>
          <w:sz w:val="48"/>
          <w:szCs w:val="48"/>
          <w:lang w:eastAsia="zh-CN"/>
        </w:rPr>
      </w:pPr>
      <w:r>
        <w:rPr>
          <w:rFonts w:hint="default" w:ascii="Times New Roman" w:hAnsi="Times New Roman" w:eastAsia="华文新魏" w:cs="Times New Roman"/>
          <w:color w:val="000000"/>
          <w:sz w:val="48"/>
          <w:szCs w:val="48"/>
          <w:lang w:val="en-US" w:eastAsia="zh-CN"/>
        </w:rPr>
        <w:t xml:space="preserve">                </w:t>
      </w:r>
    </w:p>
    <w:p>
      <w:pPr>
        <w:spacing w:line="360" w:lineRule="auto"/>
        <w:jc w:val="center"/>
        <w:rPr>
          <w:rFonts w:hint="default" w:ascii="Times New Roman" w:hAnsi="Times New Roman" w:eastAsia="华文新魏" w:cs="Times New Roman"/>
          <w:color w:val="000000"/>
          <w:sz w:val="48"/>
          <w:szCs w:val="48"/>
        </w:rPr>
      </w:pPr>
    </w:p>
    <w:p>
      <w:pPr>
        <w:pStyle w:val="2"/>
        <w:rPr>
          <w:rFonts w:hint="default" w:ascii="Times New Roman" w:hAnsi="Times New Roman" w:cs="Times New Roman"/>
        </w:rPr>
      </w:pPr>
    </w:p>
    <w:p>
      <w:pPr>
        <w:spacing w:line="360" w:lineRule="auto"/>
        <w:jc w:val="center"/>
        <w:rPr>
          <w:rFonts w:hint="default" w:ascii="Times New Roman" w:hAnsi="Times New Roman" w:eastAsia="华文新魏" w:cs="Times New Roman"/>
          <w:color w:val="000000"/>
          <w:sz w:val="48"/>
          <w:szCs w:val="48"/>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宋体" w:cs="Times New Roman"/>
          <w:b/>
          <w:color w:val="000000"/>
          <w:sz w:val="48"/>
          <w:szCs w:val="48"/>
          <w:lang w:val="en-US" w:eastAsia="zh-CN"/>
        </w:rPr>
      </w:pPr>
      <w:bookmarkStart w:id="0" w:name="_Toc22818"/>
      <w:r>
        <w:rPr>
          <w:rFonts w:hint="default" w:ascii="Times New Roman" w:hAnsi="Times New Roman" w:eastAsia="宋体" w:cs="Times New Roman"/>
          <w:b/>
          <w:color w:val="000000"/>
          <w:sz w:val="48"/>
          <w:szCs w:val="48"/>
          <w:lang w:val="en-US" w:eastAsia="zh-CN"/>
        </w:rPr>
        <w:t>科福兴新材料科技（江苏）有限公司</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宋体" w:cs="Times New Roman"/>
          <w:b/>
          <w:color w:val="000000"/>
          <w:sz w:val="48"/>
          <w:szCs w:val="48"/>
          <w:lang w:val="en-US" w:eastAsia="zh-CN"/>
        </w:rPr>
      </w:pPr>
      <w:r>
        <w:rPr>
          <w:rFonts w:hint="default" w:ascii="Times New Roman" w:hAnsi="Times New Roman" w:eastAsia="宋体" w:cs="Times New Roman"/>
          <w:b/>
          <w:color w:val="000000"/>
          <w:sz w:val="48"/>
          <w:szCs w:val="48"/>
          <w:lang w:val="en-US" w:eastAsia="zh-CN"/>
        </w:rPr>
        <w:t>年产10万张海绵床垫项目</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华文新魏" w:cs="Times New Roman"/>
          <w:color w:val="000000"/>
          <w:sz w:val="48"/>
          <w:szCs w:val="48"/>
        </w:rPr>
      </w:pPr>
      <w:r>
        <w:rPr>
          <w:rFonts w:hint="default" w:ascii="Times New Roman" w:hAnsi="Times New Roman" w:eastAsia="宋体" w:cs="Times New Roman"/>
          <w:b/>
          <w:color w:val="000000"/>
          <w:sz w:val="48"/>
          <w:szCs w:val="48"/>
        </w:rPr>
        <w:t>竣工环境保护</w:t>
      </w:r>
      <w:bookmarkEnd w:id="0"/>
      <w:bookmarkStart w:id="1" w:name="_Toc5788"/>
      <w:r>
        <w:rPr>
          <w:rFonts w:hint="default" w:ascii="Times New Roman" w:hAnsi="Times New Roman" w:eastAsia="宋体" w:cs="Times New Roman"/>
          <w:b/>
          <w:color w:val="000000"/>
          <w:sz w:val="48"/>
          <w:szCs w:val="48"/>
        </w:rPr>
        <w:t>验收监测报告表</w:t>
      </w:r>
      <w:bookmarkEnd w:id="1"/>
    </w:p>
    <w:p>
      <w:pPr>
        <w:jc w:val="center"/>
        <w:rPr>
          <w:rFonts w:hint="default" w:ascii="Times New Roman" w:hAnsi="Times New Roman" w:eastAsia="仿宋_GB2312" w:cs="Times New Roman"/>
          <w:color w:val="000000"/>
          <w:sz w:val="28"/>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jc w:val="center"/>
        <w:rPr>
          <w:rFonts w:hint="default" w:ascii="Times New Roman" w:hAnsi="Times New Roman" w:eastAsia="仿宋_GB2312" w:cs="Times New Roman"/>
          <w:color w:val="000000"/>
          <w:sz w:val="28"/>
        </w:rPr>
      </w:pPr>
    </w:p>
    <w:p>
      <w:pPr>
        <w:jc w:val="center"/>
        <w:rPr>
          <w:rFonts w:hint="default" w:ascii="Times New Roman" w:hAnsi="Times New Roman" w:eastAsia="仿宋_GB2312" w:cs="Times New Roman"/>
          <w:color w:val="000000"/>
          <w:sz w:val="28"/>
        </w:rPr>
      </w:pPr>
    </w:p>
    <w:p>
      <w:pPr>
        <w:pStyle w:val="2"/>
        <w:rPr>
          <w:rFonts w:hint="default" w:ascii="Times New Roman" w:hAnsi="Times New Roman" w:cs="Times New Roman"/>
        </w:rPr>
      </w:pPr>
    </w:p>
    <w:p>
      <w:pPr>
        <w:rPr>
          <w:rFonts w:hint="default" w:ascii="Times New Roman" w:hAnsi="Times New Roman" w:eastAsia="仿宋_GB2312" w:cs="Times New Roman"/>
          <w:color w:val="000000"/>
          <w:sz w:val="28"/>
        </w:rPr>
      </w:pPr>
    </w:p>
    <w:p>
      <w:pPr>
        <w:rPr>
          <w:rFonts w:hint="default" w:ascii="Times New Roman" w:hAnsi="Times New Roman" w:eastAsia="华文新魏" w:cs="Times New Roman"/>
          <w:color w:val="000000"/>
          <w:sz w:val="28"/>
          <w:szCs w:val="28"/>
        </w:rPr>
      </w:pPr>
      <w:r>
        <w:rPr>
          <w:rFonts w:hint="default" w:ascii="Times New Roman" w:hAnsi="Times New Roman" w:eastAsia="仿宋_GB2312" w:cs="Times New Roman"/>
          <w:color w:val="000000"/>
          <w:sz w:val="28"/>
        </w:rPr>
        <w:tab/>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建设单位</w:t>
      </w:r>
      <w:r>
        <w:rPr>
          <w:rFonts w:hint="default" w:ascii="Times New Roman" w:hAnsi="Times New Roman" w:eastAsia="宋体" w:cs="Times New Roman"/>
          <w:color w:val="000000"/>
          <w:sz w:val="28"/>
          <w:szCs w:val="28"/>
          <w:lang w:eastAsia="zh-CN"/>
        </w:rPr>
        <w:t>：</w:t>
      </w:r>
      <w:r>
        <w:rPr>
          <w:rFonts w:hint="default" w:ascii="Times New Roman" w:hAnsi="Times New Roman" w:eastAsia="宋体" w:cs="Times New Roman"/>
          <w:color w:val="000000"/>
          <w:sz w:val="28"/>
          <w:szCs w:val="28"/>
          <w:lang w:val="en-US" w:eastAsia="zh-CN"/>
        </w:rPr>
        <w:t>科福兴新材料科技（江苏）有限公司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华文新魏" w:cs="Times New Roman"/>
          <w:color w:val="000000"/>
          <w:sz w:val="28"/>
          <w:szCs w:val="28"/>
          <w:lang w:eastAsia="zh-CN"/>
        </w:rPr>
      </w:pPr>
      <w:r>
        <w:rPr>
          <w:rFonts w:hint="default" w:ascii="Times New Roman" w:hAnsi="Times New Roman" w:eastAsia="宋体" w:cs="Times New Roman"/>
          <w:color w:val="000000"/>
          <w:sz w:val="28"/>
          <w:szCs w:val="28"/>
        </w:rPr>
        <w:t>编制单位</w:t>
      </w:r>
      <w:r>
        <w:rPr>
          <w:rFonts w:hint="default" w:ascii="Times New Roman" w:hAnsi="Times New Roman" w:eastAsia="宋体" w:cs="Times New Roman"/>
          <w:color w:val="000000"/>
          <w:sz w:val="28"/>
          <w:szCs w:val="28"/>
          <w:lang w:eastAsia="zh-CN"/>
        </w:rPr>
        <w:t>：</w:t>
      </w:r>
      <w:r>
        <w:rPr>
          <w:rFonts w:hint="default" w:ascii="Times New Roman" w:hAnsi="Times New Roman" w:eastAsia="宋体" w:cs="Times New Roman"/>
          <w:color w:val="000000"/>
          <w:sz w:val="28"/>
          <w:szCs w:val="28"/>
          <w:lang w:val="en-US" w:eastAsia="zh-CN"/>
        </w:rPr>
        <w:t>科福兴新材料科技（江苏）有限公司</w:t>
      </w:r>
    </w:p>
    <w:p>
      <w:pPr>
        <w:rPr>
          <w:rFonts w:hint="default" w:ascii="Times New Roman" w:hAnsi="Times New Roman" w:eastAsia="仿宋_GB2312" w:cs="Times New Roman"/>
          <w:color w:val="000000"/>
          <w:sz w:val="28"/>
        </w:rPr>
      </w:pPr>
    </w:p>
    <w:p>
      <w:pPr>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rPr>
          <w:rFonts w:hint="default" w:ascii="Times New Roman" w:hAnsi="Times New Roman" w:eastAsia="华文新魏" w:cs="Times New Roman"/>
          <w:color w:val="000000"/>
          <w:sz w:val="28"/>
          <w:szCs w:val="28"/>
        </w:rPr>
      </w:pPr>
    </w:p>
    <w:p>
      <w:pPr>
        <w:jc w:val="center"/>
        <w:rPr>
          <w:rFonts w:hint="default" w:ascii="Times New Roman" w:hAnsi="Times New Roman" w:eastAsia="华文新魏" w:cs="Times New Roman"/>
          <w:color w:val="000000"/>
          <w:sz w:val="28"/>
          <w:szCs w:val="28"/>
        </w:rPr>
      </w:pPr>
      <w:r>
        <w:rPr>
          <w:rFonts w:hint="default" w:ascii="Times New Roman" w:hAnsi="Times New Roman" w:eastAsia="华文新魏" w:cs="Times New Roman"/>
          <w:b/>
          <w:color w:val="000000"/>
          <w:sz w:val="28"/>
          <w:szCs w:val="28"/>
          <w:lang w:val="en-US" w:eastAsia="zh-CN"/>
        </w:rPr>
        <w:t>2022</w:t>
      </w:r>
      <w:r>
        <w:rPr>
          <w:rFonts w:hint="default" w:ascii="Times New Roman" w:hAnsi="Times New Roman" w:eastAsia="华文新魏" w:cs="Times New Roman"/>
          <w:color w:val="000000"/>
          <w:sz w:val="28"/>
          <w:szCs w:val="28"/>
        </w:rPr>
        <w:t>年</w:t>
      </w:r>
      <w:r>
        <w:rPr>
          <w:rFonts w:hint="default" w:ascii="Times New Roman" w:hAnsi="Times New Roman" w:eastAsia="华文新魏" w:cs="Times New Roman"/>
          <w:b/>
          <w:color w:val="000000"/>
          <w:sz w:val="28"/>
          <w:szCs w:val="28"/>
          <w:lang w:val="en-US" w:eastAsia="zh-CN"/>
        </w:rPr>
        <w:t>7</w:t>
      </w:r>
      <w:r>
        <w:rPr>
          <w:rFonts w:hint="default" w:ascii="Times New Roman" w:hAnsi="Times New Roman" w:eastAsia="华文新魏" w:cs="Times New Roman"/>
          <w:color w:val="000000"/>
          <w:sz w:val="28"/>
          <w:szCs w:val="28"/>
        </w:rPr>
        <w:t>月</w:t>
      </w:r>
    </w:p>
    <w:p>
      <w:pPr>
        <w:rPr>
          <w:rFonts w:hint="default" w:ascii="Times New Roman" w:hAnsi="Times New Roman" w:eastAsia="华文新魏" w:cs="Times New Roman"/>
          <w:color w:val="000000"/>
          <w:sz w:val="28"/>
          <w:szCs w:val="28"/>
        </w:rPr>
      </w:pPr>
    </w:p>
    <w:p>
      <w:pPr>
        <w:rPr>
          <w:rFonts w:hint="default" w:ascii="Times New Roman" w:hAnsi="Times New Roman" w:eastAsia="仿宋_GB2312" w:cs="Times New Roman"/>
          <w:color w:val="000000"/>
          <w:sz w:val="32"/>
        </w:rPr>
      </w:pPr>
      <w:r>
        <w:rPr>
          <w:rFonts w:hint="default" w:ascii="Times New Roman" w:hAnsi="Times New Roman" w:eastAsia="仿宋_GB2312" w:cs="Times New Roman"/>
          <w:b/>
          <w:color w:val="000000"/>
          <w:sz w:val="28"/>
        </w:rPr>
        <w:tab/>
      </w: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r>
        <w:rPr>
          <w:rFonts w:hint="default" w:ascii="Times New Roman" w:hAnsi="Times New Roman" w:eastAsia="仿宋_GB2312" w:cs="Times New Roman"/>
          <w:color w:val="000000"/>
          <w:sz w:val="28"/>
        </w:rPr>
        <w:t xml:space="preserve"> </w:t>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建设单位法人代表:</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r>
        <w:rPr>
          <w:rFonts w:hint="eastAsia"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 xml:space="preserve">   （签字）</w:t>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编制单位法人代表:</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r>
        <w:rPr>
          <w:rFonts w:hint="eastAsia"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 xml:space="preserve"> （签字）</w:t>
      </w:r>
    </w:p>
    <w:p>
      <w:pPr>
        <w:spacing w:line="360" w:lineRule="auto"/>
        <w:rPr>
          <w:rFonts w:hint="default" w:ascii="Times New Roman" w:hAnsi="Times New Roman" w:eastAsia="仿宋_GB2312" w:cs="Times New Roman"/>
          <w:b/>
          <w:color w:val="000000"/>
          <w:spacing w:val="7"/>
          <w:w w:val="79"/>
          <w:sz w:val="28"/>
        </w:rPr>
      </w:pPr>
      <w:r>
        <w:rPr>
          <w:rFonts w:hint="default" w:ascii="Times New Roman" w:hAnsi="Times New Roman" w:eastAsia="仿宋_GB2312" w:cs="Times New Roman"/>
          <w:b/>
          <w:color w:val="000000"/>
          <w:spacing w:val="20"/>
          <w:w w:val="79"/>
          <w:sz w:val="28"/>
        </w:rPr>
        <w:t>项  目  负 责  人</w:t>
      </w:r>
      <w:r>
        <w:rPr>
          <w:rFonts w:hint="default" w:ascii="Times New Roman" w:hAnsi="Times New Roman" w:eastAsia="仿宋_GB2312" w:cs="Times New Roman"/>
          <w:b/>
          <w:color w:val="000000"/>
          <w:spacing w:val="10"/>
          <w:w w:val="79"/>
          <w:sz w:val="28"/>
        </w:rPr>
        <w:t>:</w:t>
      </w:r>
    </w:p>
    <w:p>
      <w:pPr>
        <w:spacing w:line="360" w:lineRule="auto"/>
        <w:rPr>
          <w:rFonts w:hint="default" w:ascii="Times New Roman" w:hAnsi="Times New Roman" w:eastAsia="仿宋_GB2312" w:cs="Times New Roman"/>
          <w:b/>
          <w:color w:val="000000"/>
          <w:spacing w:val="7"/>
          <w:w w:val="79"/>
          <w:sz w:val="28"/>
        </w:rPr>
      </w:pPr>
      <w:r>
        <w:rPr>
          <w:rFonts w:hint="default" w:ascii="Times New Roman" w:hAnsi="Times New Roman" w:eastAsia="仿宋_GB2312" w:cs="Times New Roman"/>
          <w:b/>
          <w:color w:val="000000"/>
          <w:spacing w:val="141"/>
          <w:w w:val="79"/>
          <w:sz w:val="28"/>
        </w:rPr>
        <w:t>填 表 人</w:t>
      </w:r>
      <w:r>
        <w:rPr>
          <w:rFonts w:hint="default" w:ascii="Times New Roman" w:hAnsi="Times New Roman" w:eastAsia="仿宋_GB2312" w:cs="Times New Roman"/>
          <w:b/>
          <w:color w:val="000000"/>
          <w:spacing w:val="2"/>
          <w:w w:val="79"/>
          <w:sz w:val="28"/>
        </w:rPr>
        <w:t>：</w:t>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tabs>
          <w:tab w:val="left" w:pos="984"/>
        </w:tabs>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tbl>
      <w:tblPr>
        <w:tblStyle w:val="19"/>
        <w:tblW w:w="86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4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4261" w:type="dxa"/>
            <w:tcBorders>
              <w:tl2br w:val="nil"/>
              <w:tr2bl w:val="nil"/>
            </w:tcBorders>
          </w:tcPr>
          <w:p>
            <w:pPr>
              <w:spacing w:line="360" w:lineRule="auto"/>
              <w:ind w:left="1260" w:hanging="1260" w:hangingChars="600"/>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 xml:space="preserve">建设单位 </w:t>
            </w:r>
            <w:r>
              <w:rPr>
                <w:rFonts w:hint="default" w:ascii="Times New Roman" w:hAnsi="Times New Roman" w:eastAsia="仿宋_GB2312" w:cs="Times New Roman"/>
                <w:color w:val="000000"/>
                <w:sz w:val="21"/>
                <w:szCs w:val="21"/>
                <w:lang w:eastAsia="zh-CN"/>
              </w:rPr>
              <w:t>：</w:t>
            </w:r>
            <w:r>
              <w:rPr>
                <w:rFonts w:hint="default" w:ascii="Times New Roman" w:hAnsi="Times New Roman" w:eastAsia="仿宋_GB2312" w:cs="Times New Roman"/>
                <w:color w:val="000000"/>
                <w:sz w:val="21"/>
                <w:szCs w:val="21"/>
                <w:lang w:val="en-US" w:eastAsia="zh-CN"/>
              </w:rPr>
              <w:t>科福兴新材料科技（江苏）有限公司</w:t>
            </w:r>
            <w:r>
              <w:rPr>
                <w:rFonts w:hint="default" w:ascii="Times New Roman" w:hAnsi="Times New Roman" w:eastAsia="仿宋_GB2312" w:cs="Times New Roman"/>
                <w:color w:val="000000"/>
                <w:sz w:val="21"/>
                <w:szCs w:val="21"/>
              </w:rPr>
              <w:t>（盖章）</w:t>
            </w:r>
          </w:p>
        </w:tc>
        <w:tc>
          <w:tcPr>
            <w:tcW w:w="4438" w:type="dxa"/>
            <w:tcBorders>
              <w:tl2br w:val="nil"/>
              <w:tr2bl w:val="nil"/>
            </w:tcBorders>
          </w:tcPr>
          <w:p>
            <w:pPr>
              <w:spacing w:line="360" w:lineRule="auto"/>
              <w:ind w:left="1050" w:hanging="1050" w:hangingChars="500"/>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监测</w:t>
            </w:r>
            <w:r>
              <w:rPr>
                <w:rFonts w:hint="default" w:ascii="Times New Roman" w:hAnsi="Times New Roman" w:eastAsia="仿宋_GB2312" w:cs="Times New Roman"/>
                <w:color w:val="000000"/>
                <w:sz w:val="21"/>
                <w:szCs w:val="21"/>
              </w:rPr>
              <w:t>单位</w:t>
            </w:r>
            <w:r>
              <w:rPr>
                <w:rFonts w:hint="default" w:ascii="Times New Roman" w:hAnsi="Times New Roman" w:eastAsia="仿宋_GB2312" w:cs="Times New Roman"/>
                <w:color w:val="000000"/>
                <w:sz w:val="21"/>
                <w:szCs w:val="21"/>
                <w:lang w:eastAsia="zh-CN"/>
              </w:rPr>
              <w:t>：</w:t>
            </w:r>
            <w:r>
              <w:rPr>
                <w:rFonts w:hint="default" w:ascii="Times New Roman" w:hAnsi="Times New Roman" w:eastAsia="仿宋_GB2312" w:cs="Times New Roman"/>
                <w:color w:val="000000"/>
                <w:sz w:val="21"/>
                <w:szCs w:val="21"/>
                <w:lang w:val="en-US" w:eastAsia="zh-CN"/>
              </w:rPr>
              <w:t>江苏新锐环境监测有限公司</w:t>
            </w:r>
            <w:r>
              <w:rPr>
                <w:rFonts w:hint="default" w:ascii="Times New Roman" w:hAnsi="Times New Roman" w:eastAsia="仿宋_GB2312" w:cs="Times New Roman"/>
                <w:color w:val="000000"/>
                <w:sz w:val="21"/>
                <w:szCs w:val="21"/>
              </w:rPr>
              <w:t xml:space="preserve">          </w:t>
            </w:r>
            <w:r>
              <w:rPr>
                <w:rFonts w:hint="default" w:ascii="Times New Roman" w:hAnsi="Times New Roman" w:eastAsia="仿宋_GB2312" w:cs="Times New Roman"/>
                <w:color w:val="000000"/>
                <w:sz w:val="21"/>
                <w:szCs w:val="21"/>
                <w:lang w:val="en-US" w:eastAsia="zh-CN"/>
              </w:rPr>
              <w:t xml:space="preserve">           </w:t>
            </w:r>
            <w:r>
              <w:rPr>
                <w:rFonts w:hint="default" w:ascii="Times New Roman" w:hAnsi="Times New Roman" w:eastAsia="仿宋_GB2312" w:cs="Times New Roman"/>
                <w:color w:val="000000"/>
                <w:sz w:val="21"/>
                <w:szCs w:val="21"/>
              </w:rPr>
              <w:t xml:space="preserve">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 xml:space="preserve">电话:  </w:t>
            </w:r>
          </w:p>
        </w:tc>
        <w:tc>
          <w:tcPr>
            <w:tcW w:w="4438" w:type="dxa"/>
            <w:tcBorders>
              <w:tl2br w:val="nil"/>
              <w:tr2bl w:val="nil"/>
            </w:tcBorders>
            <w:vAlign w:val="top"/>
          </w:tcPr>
          <w:p>
            <w:pPr>
              <w:spacing w:line="360" w:lineRule="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 xml:space="preserve">电话: </w:t>
            </w:r>
            <w:r>
              <w:rPr>
                <w:rFonts w:hint="eastAsia" w:eastAsia="仿宋_GB2312" w:cs="Times New Roman"/>
                <w:color w:val="000000"/>
                <w:sz w:val="21"/>
                <w:szCs w:val="21"/>
                <w:lang w:val="en-US" w:eastAsia="zh-CN"/>
              </w:rPr>
              <w:t>0512-35001025</w:t>
            </w:r>
            <w:r>
              <w:rPr>
                <w:rFonts w:hint="default" w:ascii="Times New Roman" w:hAnsi="Times New Roman" w:eastAsia="仿宋_GB2312" w:cs="Times New Roman"/>
                <w:color w:val="000000"/>
                <w:sz w:val="21"/>
                <w:szCs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spacing w:line="360" w:lineRule="auto"/>
              <w:rPr>
                <w:rFonts w:hint="default" w:ascii="Times New Roman" w:hAnsi="Times New Roman" w:eastAsia="仿宋_GB2312" w:cs="Times New Roman"/>
                <w:color w:val="000000"/>
                <w:sz w:val="28"/>
                <w:vertAlign w:val="baseline"/>
              </w:rPr>
            </w:pPr>
            <w:r>
              <w:rPr>
                <w:rFonts w:hint="default" w:ascii="Times New Roman" w:hAnsi="Times New Roman" w:eastAsia="仿宋_GB2312" w:cs="Times New Roman"/>
                <w:color w:val="000000"/>
                <w:sz w:val="21"/>
                <w:szCs w:val="21"/>
              </w:rPr>
              <w:t xml:space="preserve">传真:   </w:t>
            </w:r>
          </w:p>
        </w:tc>
        <w:tc>
          <w:tcPr>
            <w:tcW w:w="4438" w:type="dxa"/>
            <w:tcBorders>
              <w:tl2br w:val="nil"/>
              <w:tr2bl w:val="nil"/>
            </w:tcBorders>
            <w:vAlign w:val="top"/>
          </w:tcPr>
          <w:p>
            <w:pPr>
              <w:spacing w:line="360" w:lineRule="auto"/>
              <w:rPr>
                <w:rFonts w:hint="default" w:ascii="Times New Roman" w:hAnsi="Times New Roman" w:eastAsia="仿宋_GB2312" w:cs="Times New Roman"/>
                <w:color w:val="000000"/>
                <w:kern w:val="2"/>
                <w:sz w:val="28"/>
                <w:szCs w:val="24"/>
                <w:vertAlign w:val="baseline"/>
                <w:lang w:val="en-US" w:eastAsia="zh-CN" w:bidi="ar-SA"/>
              </w:rPr>
            </w:pPr>
            <w:r>
              <w:rPr>
                <w:rFonts w:hint="default" w:ascii="Times New Roman" w:hAnsi="Times New Roman" w:eastAsia="仿宋_GB2312" w:cs="Times New Roman"/>
                <w:color w:val="000000"/>
                <w:sz w:val="21"/>
                <w:szCs w:val="21"/>
              </w:rPr>
              <w:t xml:space="preserve">传真: </w:t>
            </w:r>
            <w:r>
              <w:rPr>
                <w:rFonts w:hint="eastAsia" w:eastAsia="仿宋_GB2312" w:cs="Times New Roman"/>
                <w:color w:val="000000"/>
                <w:sz w:val="21"/>
                <w:szCs w:val="21"/>
                <w:lang w:val="en-US" w:eastAsia="zh-CN"/>
              </w:rPr>
              <w:t>0512-35022259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spacing w:line="360" w:lineRule="auto"/>
              <w:rPr>
                <w:rFonts w:hint="default" w:ascii="Times New Roman" w:hAnsi="Times New Roman" w:eastAsia="仿宋_GB2312" w:cs="Times New Roman"/>
                <w:color w:val="000000"/>
                <w:sz w:val="28"/>
                <w:vertAlign w:val="baseline"/>
              </w:rPr>
            </w:pPr>
            <w:r>
              <w:rPr>
                <w:rFonts w:hint="default" w:ascii="Times New Roman" w:hAnsi="Times New Roman" w:eastAsia="仿宋_GB2312" w:cs="Times New Roman"/>
                <w:color w:val="000000"/>
                <w:sz w:val="21"/>
                <w:szCs w:val="21"/>
              </w:rPr>
              <w:t xml:space="preserve">邮编: </w:t>
            </w:r>
          </w:p>
        </w:tc>
        <w:tc>
          <w:tcPr>
            <w:tcW w:w="4438" w:type="dxa"/>
            <w:tcBorders>
              <w:tl2br w:val="nil"/>
              <w:tr2bl w:val="nil"/>
            </w:tcBorders>
            <w:vAlign w:val="top"/>
          </w:tcPr>
          <w:p>
            <w:pPr>
              <w:spacing w:line="360" w:lineRule="auto"/>
              <w:rPr>
                <w:rFonts w:hint="default" w:ascii="Times New Roman" w:hAnsi="Times New Roman" w:eastAsia="仿宋_GB2312" w:cs="Times New Roman"/>
                <w:color w:val="000000"/>
                <w:kern w:val="2"/>
                <w:sz w:val="28"/>
                <w:szCs w:val="24"/>
                <w:vertAlign w:val="baseline"/>
                <w:lang w:val="en-US" w:eastAsia="zh-CN" w:bidi="ar-SA"/>
              </w:rPr>
            </w:pPr>
            <w:r>
              <w:rPr>
                <w:rFonts w:hint="default" w:ascii="Times New Roman" w:hAnsi="Times New Roman" w:eastAsia="仿宋_GB2312" w:cs="Times New Roman"/>
                <w:color w:val="000000"/>
                <w:sz w:val="21"/>
                <w:szCs w:val="21"/>
              </w:rPr>
              <w:t xml:space="preserve">邮编: </w:t>
            </w:r>
            <w:r>
              <w:rPr>
                <w:rFonts w:hint="eastAsia" w:eastAsia="仿宋_GB2312" w:cs="Times New Roman"/>
                <w:color w:val="000000"/>
                <w:sz w:val="21"/>
                <w:szCs w:val="21"/>
                <w:lang w:val="en-US" w:eastAsia="zh-CN"/>
              </w:rPr>
              <w:t>215600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spacing w:line="360" w:lineRule="auto"/>
              <w:rPr>
                <w:rFonts w:hint="default" w:ascii="Times New Roman" w:hAnsi="Times New Roman" w:eastAsia="仿宋_GB2312" w:cs="Times New Roman"/>
                <w:color w:val="000000"/>
                <w:sz w:val="28"/>
                <w:vertAlign w:val="baseline"/>
              </w:rPr>
            </w:pPr>
            <w:r>
              <w:rPr>
                <w:rFonts w:hint="default" w:ascii="Times New Roman" w:hAnsi="Times New Roman" w:eastAsia="仿宋_GB2312" w:cs="Times New Roman"/>
                <w:color w:val="000000"/>
                <w:sz w:val="21"/>
                <w:szCs w:val="21"/>
              </w:rPr>
              <w:t xml:space="preserve">地址: </w:t>
            </w:r>
          </w:p>
        </w:tc>
        <w:tc>
          <w:tcPr>
            <w:tcW w:w="4438" w:type="dxa"/>
            <w:tcBorders>
              <w:tl2br w:val="nil"/>
              <w:tr2bl w:val="nil"/>
            </w:tcBorders>
            <w:vAlign w:val="top"/>
          </w:tcPr>
          <w:p>
            <w:pPr>
              <w:spacing w:line="360" w:lineRule="auto"/>
              <w:rPr>
                <w:rFonts w:hint="default" w:ascii="Times New Roman" w:hAnsi="Times New Roman" w:eastAsia="仿宋_GB2312" w:cs="Times New Roman"/>
                <w:color w:val="000000"/>
                <w:kern w:val="2"/>
                <w:sz w:val="28"/>
                <w:szCs w:val="24"/>
                <w:vertAlign w:val="baseline"/>
                <w:lang w:val="en-US" w:eastAsia="zh-CN" w:bidi="ar-SA"/>
              </w:rPr>
            </w:pPr>
            <w:r>
              <w:rPr>
                <w:rFonts w:hint="default" w:ascii="Times New Roman" w:hAnsi="Times New Roman" w:eastAsia="仿宋_GB2312" w:cs="Times New Roman"/>
                <w:color w:val="000000"/>
                <w:sz w:val="21"/>
                <w:szCs w:val="21"/>
              </w:rPr>
              <w:t xml:space="preserve">地址: </w:t>
            </w:r>
            <w:r>
              <w:rPr>
                <w:rFonts w:hint="eastAsia" w:eastAsia="仿宋_GB2312" w:cs="Times New Roman"/>
                <w:color w:val="000000"/>
                <w:sz w:val="21"/>
                <w:szCs w:val="21"/>
                <w:lang w:val="en-US" w:eastAsia="zh-CN"/>
              </w:rPr>
              <w:t>江苏省张家港经济开发区新泾西路2号</w:t>
            </w:r>
          </w:p>
        </w:tc>
      </w:tr>
    </w:tbl>
    <w:p>
      <w:pPr>
        <w:pStyle w:val="2"/>
        <w:rPr>
          <w:rFonts w:hint="default" w:ascii="Times New Roman" w:hAnsi="Times New Roman" w:cs="Times New Roman"/>
          <w:sz w:val="21"/>
          <w:szCs w:val="21"/>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eastAsia="仿宋_GB2312" w:cs="Times New Roman"/>
          <w:color w:val="000000"/>
          <w:sz w:val="21"/>
          <w:szCs w:val="21"/>
        </w:rPr>
        <w:t xml:space="preserve">                     </w:t>
      </w:r>
    </w:p>
    <w:sdt>
      <w:sdtPr>
        <w:rPr>
          <w:rFonts w:hint="default" w:ascii="Times New Roman" w:hAnsi="Times New Roman" w:eastAsia="宋体" w:cs="Times New Roman"/>
          <w:b/>
          <w:bCs/>
          <w:kern w:val="2"/>
          <w:sz w:val="32"/>
          <w:szCs w:val="32"/>
          <w:lang w:val="en-US" w:eastAsia="zh-CN" w:bidi="ar-SA"/>
        </w:rPr>
        <w:id w:val="147471796"/>
        <w15:color w:val="DBDBDB"/>
        <w:docPartObj>
          <w:docPartGallery w:val="Table of Contents"/>
          <w:docPartUnique/>
        </w:docPartObj>
      </w:sdtPr>
      <w:sdtEndPr>
        <w:rPr>
          <w:rFonts w:hint="default" w:ascii="Times New Roman" w:hAnsi="Times New Roman" w:eastAsia="宋体" w:cs="Times New Roman"/>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b/>
              <w:bCs/>
              <w:sz w:val="32"/>
              <w:szCs w:val="32"/>
            </w:rPr>
          </w:pPr>
          <w:r>
            <w:rPr>
              <w:rFonts w:hint="default" w:ascii="Times New Roman" w:hAnsi="Times New Roman" w:eastAsia="宋体" w:cs="Times New Roman"/>
              <w:b/>
              <w:bCs/>
              <w:sz w:val="32"/>
              <w:szCs w:val="32"/>
            </w:rPr>
            <w:t>目</w:t>
          </w:r>
          <w:r>
            <w:rPr>
              <w:rFonts w:hint="default" w:ascii="Times New Roman" w:hAnsi="Times New Roman" w:eastAsia="宋体" w:cs="Times New Roman"/>
              <w:b/>
              <w:bCs/>
              <w:sz w:val="32"/>
              <w:szCs w:val="32"/>
              <w:lang w:val="en-US" w:eastAsia="zh-CN"/>
            </w:rPr>
            <w:t xml:space="preserve"> </w:t>
          </w:r>
          <w:r>
            <w:rPr>
              <w:rFonts w:hint="default" w:ascii="Times New Roman" w:hAnsi="Times New Roman" w:eastAsia="宋体" w:cs="Times New Roman"/>
              <w:b/>
              <w:bCs/>
              <w:sz w:val="32"/>
              <w:szCs w:val="32"/>
            </w:rPr>
            <w:t>录</w:t>
          </w:r>
        </w:p>
        <w:p>
          <w:pPr>
            <w:pStyle w:val="5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TOC \o "1-1" \h \u </w:instrText>
          </w:r>
          <w:r>
            <w:rPr>
              <w:rFonts w:hint="default" w:ascii="Times New Roman" w:hAnsi="Times New Roman" w:cs="Times New Roman"/>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_Toc31277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bidi="ar-SA"/>
            </w:rPr>
            <w:t>表一、建设项目基本情况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_Toc31277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5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_Toc20909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bidi="ar-SA"/>
            </w:rPr>
            <w:t>表二、项目概况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_Toc20909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5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_Toc523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zh-CN" w:eastAsia="zh-CN" w:bidi="ar-SA"/>
            </w:rPr>
            <w:t>表三、主要生产工艺及污染物产出流程（附示意图）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_Toc523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5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_Toc21509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zh-CN" w:bidi="ar-SA"/>
            </w:rPr>
            <w:t>表四、《报告表》主要结论、建议及审批部门审批决定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_Toc21509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5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_Toc24006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zh-CN" w:bidi="ar-SA"/>
            </w:rPr>
            <w:t>表五、主要污染源、污染物产生及处置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_Toc24006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5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_Toc1700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bidi="ar-SA"/>
            </w:rPr>
            <w:t>表</w:t>
          </w:r>
          <w:r>
            <w:rPr>
              <w:rFonts w:hint="default" w:ascii="Times New Roman" w:hAnsi="Times New Roman" w:eastAsia="宋体" w:cs="Times New Roman"/>
              <w:sz w:val="24"/>
              <w:szCs w:val="24"/>
              <w:lang w:eastAsia="zh-CN" w:bidi="ar-SA"/>
            </w:rPr>
            <w:t>六</w:t>
          </w:r>
          <w:r>
            <w:rPr>
              <w:rFonts w:hint="default" w:ascii="Times New Roman" w:hAnsi="Times New Roman" w:eastAsia="宋体" w:cs="Times New Roman"/>
              <w:sz w:val="24"/>
              <w:szCs w:val="24"/>
              <w:lang w:bidi="ar-SA"/>
            </w:rPr>
            <w:t>、</w:t>
          </w:r>
          <w:r>
            <w:rPr>
              <w:rFonts w:hint="default" w:ascii="Times New Roman" w:hAnsi="Times New Roman" w:eastAsia="宋体" w:cs="Times New Roman"/>
              <w:sz w:val="24"/>
              <w:szCs w:val="24"/>
              <w:lang w:eastAsia="zh-CN" w:bidi="ar-SA"/>
            </w:rPr>
            <w:t>监测期间工况记录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_Toc1700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5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_Toc10773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bidi="ar-SA"/>
            </w:rPr>
            <w:t>表</w:t>
          </w:r>
          <w:r>
            <w:rPr>
              <w:rFonts w:hint="default" w:ascii="Times New Roman" w:hAnsi="Times New Roman" w:eastAsia="宋体" w:cs="Times New Roman"/>
              <w:sz w:val="24"/>
              <w:szCs w:val="24"/>
              <w:lang w:eastAsia="zh-CN" w:bidi="ar-SA"/>
            </w:rPr>
            <w:t>七</w:t>
          </w:r>
          <w:r>
            <w:rPr>
              <w:rFonts w:hint="default" w:ascii="Times New Roman" w:hAnsi="Times New Roman" w:eastAsia="宋体" w:cs="Times New Roman"/>
              <w:sz w:val="24"/>
              <w:szCs w:val="24"/>
              <w:lang w:bidi="ar-SA"/>
            </w:rPr>
            <w:t>、废</w:t>
          </w:r>
          <w:r>
            <w:rPr>
              <w:rFonts w:hint="default" w:ascii="Times New Roman" w:hAnsi="Times New Roman" w:eastAsia="宋体" w:cs="Times New Roman"/>
              <w:sz w:val="24"/>
              <w:szCs w:val="24"/>
              <w:lang w:val="en-US" w:eastAsia="zh-CN" w:bidi="ar-SA"/>
            </w:rPr>
            <w:t>水</w:t>
          </w:r>
          <w:r>
            <w:rPr>
              <w:rFonts w:hint="default" w:ascii="Times New Roman" w:hAnsi="Times New Roman" w:eastAsia="宋体" w:cs="Times New Roman"/>
              <w:sz w:val="24"/>
              <w:szCs w:val="24"/>
              <w:lang w:bidi="ar-SA"/>
            </w:rPr>
            <w:t>监测内容及结果评价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_Toc10773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5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_Toc21583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zh-CN" w:bidi="ar-SA"/>
            </w:rPr>
            <w:t>表八、噪声</w:t>
          </w:r>
          <w:r>
            <w:rPr>
              <w:rFonts w:hint="default" w:ascii="Times New Roman" w:hAnsi="Times New Roman" w:eastAsia="宋体" w:cs="Times New Roman"/>
              <w:sz w:val="24"/>
              <w:szCs w:val="24"/>
              <w:lang w:val="zh-CN" w:eastAsia="zh-CN" w:bidi="ar-SA"/>
            </w:rPr>
            <w:t>监测内容及结果评价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_Toc21583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5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_Toc3053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44"/>
              <w:sz w:val="24"/>
              <w:szCs w:val="24"/>
              <w:lang w:val="en-US" w:eastAsia="zh-CN" w:bidi="ar-SA"/>
            </w:rPr>
            <w:t>表九</w:t>
          </w:r>
          <w:r>
            <w:rPr>
              <w:rFonts w:hint="default" w:ascii="Times New Roman" w:hAnsi="Times New Roman" w:eastAsia="宋体" w:cs="Times New Roman"/>
              <w:kern w:val="44"/>
              <w:sz w:val="24"/>
              <w:szCs w:val="24"/>
              <w:lang w:val="zh-CN" w:eastAsia="zh-CN" w:bidi="ar-SA"/>
            </w:rPr>
            <w:t>、监测分析方法及质量保证</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_Toc3053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5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_Toc9824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zh-CN" w:bidi="ar-SA"/>
            </w:rPr>
            <w:t>表十、总量核算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_Toc9824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5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_Toc9869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zh-CN" w:bidi="ar-SA"/>
            </w:rPr>
            <w:t>表十</w:t>
          </w:r>
          <w:r>
            <w:rPr>
              <w:rFonts w:hint="default" w:ascii="Times New Roman" w:hAnsi="Times New Roman" w:eastAsia="宋体" w:cs="Times New Roman"/>
              <w:sz w:val="24"/>
              <w:szCs w:val="24"/>
              <w:lang w:val="en-US" w:eastAsia="zh-CN" w:bidi="ar-SA"/>
            </w:rPr>
            <w:t>一</w:t>
          </w:r>
          <w:r>
            <w:rPr>
              <w:rFonts w:hint="default" w:ascii="Times New Roman" w:hAnsi="Times New Roman" w:eastAsia="宋体" w:cs="Times New Roman"/>
              <w:sz w:val="24"/>
              <w:szCs w:val="24"/>
              <w:lang w:val="zh-CN" w:bidi="ar-SA"/>
            </w:rPr>
            <w:t>、验收监测结论及建议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_Toc9869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5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_Toc15654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zh-CN" w:bidi="ar-SA"/>
            </w:rPr>
            <w:t>表十</w:t>
          </w:r>
          <w:r>
            <w:rPr>
              <w:rFonts w:hint="default" w:ascii="Times New Roman" w:hAnsi="Times New Roman" w:eastAsia="宋体" w:cs="Times New Roman"/>
              <w:sz w:val="24"/>
              <w:szCs w:val="24"/>
              <w:lang w:val="en-US" w:eastAsia="zh-CN" w:bidi="ar-SA"/>
            </w:rPr>
            <w:t>二</w:t>
          </w:r>
          <w:r>
            <w:rPr>
              <w:rFonts w:hint="default" w:ascii="Times New Roman" w:hAnsi="Times New Roman" w:eastAsia="宋体" w:cs="Times New Roman"/>
              <w:sz w:val="24"/>
              <w:szCs w:val="24"/>
              <w:lang w:val="zh-CN" w:bidi="ar-SA"/>
            </w:rPr>
            <w:t>、附件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_Toc15654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rPr>
              <w:rFonts w:hint="default" w:ascii="Times New Roman" w:hAnsi="Times New Roman" w:cs="Times New Roman"/>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default" w:ascii="Times New Roman" w:hAnsi="Times New Roman" w:cs="Times New Roman"/>
            </w:rPr>
            <w:fldChar w:fldCharType="end"/>
          </w:r>
        </w:p>
      </w:sdtContent>
    </w:sdt>
    <w:p>
      <w:pPr>
        <w:pStyle w:val="3"/>
        <w:keepNext/>
        <w:keepLines/>
        <w:pageBreakBefore/>
        <w:bidi w:val="0"/>
        <w:spacing w:before="0" w:beforeAutospacing="0" w:after="0" w:afterLines="0" w:afterAutospacing="0" w:line="360" w:lineRule="auto"/>
        <w:ind w:firstLine="0" w:firstLineChars="0"/>
        <w:jc w:val="both"/>
        <w:outlineLvl w:val="0"/>
        <w:rPr>
          <w:rFonts w:hint="default" w:ascii="Times New Roman" w:hAnsi="Times New Roman" w:eastAsia="宋体" w:cs="Times New Roman"/>
          <w:sz w:val="28"/>
          <w:szCs w:val="24"/>
          <w:lang w:bidi="ar-SA"/>
        </w:rPr>
      </w:pPr>
      <w:bookmarkStart w:id="2" w:name="_Toc31277"/>
      <w:r>
        <w:rPr>
          <w:rFonts w:hint="default" w:ascii="Times New Roman" w:hAnsi="Times New Roman" w:eastAsia="宋体" w:cs="Times New Roman"/>
          <w:sz w:val="28"/>
          <w:szCs w:val="24"/>
          <w:lang w:bidi="ar-SA"/>
        </w:rPr>
        <w:t>表一、建设项目基本情况</w:t>
      </w:r>
      <w:bookmarkEnd w:id="2"/>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2"/>
        <w:gridCol w:w="1028"/>
        <w:gridCol w:w="1276"/>
        <w:gridCol w:w="1333"/>
        <w:gridCol w:w="397"/>
        <w:gridCol w:w="1208"/>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建设项目</w:t>
            </w:r>
          </w:p>
        </w:tc>
        <w:tc>
          <w:tcPr>
            <w:tcW w:w="4018"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年产10万张海绵床垫项目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建设单位</w:t>
            </w:r>
          </w:p>
        </w:tc>
        <w:tc>
          <w:tcPr>
            <w:tcW w:w="4018"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科福兴新材料科技（江苏）有限公司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联系人</w:t>
            </w:r>
          </w:p>
        </w:tc>
        <w:tc>
          <w:tcPr>
            <w:tcW w:w="135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郭新连</w:t>
            </w:r>
          </w:p>
        </w:tc>
        <w:tc>
          <w:tcPr>
            <w:tcW w:w="101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联系电话</w:t>
            </w:r>
          </w:p>
        </w:tc>
        <w:tc>
          <w:tcPr>
            <w:tcW w:w="165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15962398989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建设项目性质</w:t>
            </w:r>
          </w:p>
        </w:tc>
        <w:tc>
          <w:tcPr>
            <w:tcW w:w="135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新建</w:t>
            </w:r>
          </w:p>
        </w:tc>
        <w:tc>
          <w:tcPr>
            <w:tcW w:w="101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行业类别及代码</w:t>
            </w:r>
          </w:p>
        </w:tc>
        <w:tc>
          <w:tcPr>
            <w:tcW w:w="165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C</w:t>
            </w:r>
            <w:r>
              <w:rPr>
                <w:rFonts w:hint="default" w:ascii="Times New Roman" w:hAnsi="Times New Roman" w:cs="Times New Roman"/>
                <w:b w:val="0"/>
                <w:bCs w:val="0"/>
                <w:color w:val="000000"/>
                <w:sz w:val="21"/>
                <w:szCs w:val="21"/>
                <w:lang w:val="en-US" w:eastAsia="zh-CN"/>
              </w:rPr>
              <w:t>2190 其他家具制造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建设地点</w:t>
            </w:r>
          </w:p>
        </w:tc>
        <w:tc>
          <w:tcPr>
            <w:tcW w:w="4018"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张家港市金港镇港西村长阳路8号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环评设计产能</w:t>
            </w:r>
          </w:p>
        </w:tc>
        <w:tc>
          <w:tcPr>
            <w:tcW w:w="4018"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年产</w:t>
            </w:r>
            <w:r>
              <w:rPr>
                <w:rFonts w:hint="default" w:ascii="Times New Roman" w:hAnsi="Times New Roman" w:cs="Times New Roman"/>
                <w:b w:val="0"/>
                <w:bCs w:val="0"/>
                <w:color w:val="000000"/>
                <w:sz w:val="21"/>
                <w:szCs w:val="21"/>
                <w:lang w:val="en-US" w:eastAsia="zh-CN"/>
              </w:rPr>
              <w:t>10万张海绵床垫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实际建设产能</w:t>
            </w:r>
          </w:p>
        </w:tc>
        <w:tc>
          <w:tcPr>
            <w:tcW w:w="4018"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立项审批部门</w:t>
            </w:r>
          </w:p>
        </w:tc>
        <w:tc>
          <w:tcPr>
            <w:tcW w:w="135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江苏省张家港保税区管理委员会</w:t>
            </w:r>
          </w:p>
        </w:tc>
        <w:tc>
          <w:tcPr>
            <w:tcW w:w="101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批准文号</w:t>
            </w:r>
          </w:p>
        </w:tc>
        <w:tc>
          <w:tcPr>
            <w:tcW w:w="165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张保投资备</w:t>
            </w:r>
            <w:r>
              <w:rPr>
                <w:rFonts w:hint="eastAsia" w:ascii="宋体" w:hAnsi="宋体" w:eastAsia="宋体" w:cs="宋体"/>
                <w:b w:val="0"/>
                <w:bCs w:val="0"/>
                <w:color w:val="000000"/>
                <w:sz w:val="21"/>
                <w:szCs w:val="21"/>
                <w:lang w:val="en-US" w:eastAsia="zh-CN"/>
              </w:rPr>
              <w:t>〔</w:t>
            </w:r>
            <w:r>
              <w:rPr>
                <w:rFonts w:hint="default" w:ascii="Times New Roman" w:hAnsi="Times New Roman" w:eastAsia="宋体" w:cs="Times New Roman"/>
                <w:b w:val="0"/>
                <w:bCs w:val="0"/>
                <w:color w:val="000000"/>
                <w:sz w:val="21"/>
                <w:szCs w:val="21"/>
                <w:lang w:val="en-US" w:eastAsia="zh-CN"/>
              </w:rPr>
              <w:t>20</w:t>
            </w:r>
            <w:r>
              <w:rPr>
                <w:rFonts w:hint="default" w:ascii="Times New Roman" w:hAnsi="Times New Roman" w:cs="Times New Roman"/>
                <w:b w:val="0"/>
                <w:bCs w:val="0"/>
                <w:color w:val="000000"/>
                <w:sz w:val="21"/>
                <w:szCs w:val="21"/>
                <w:lang w:val="en-US" w:eastAsia="zh-CN"/>
              </w:rPr>
              <w:t>20</w:t>
            </w:r>
            <w:r>
              <w:rPr>
                <w:rFonts w:hint="eastAsia" w:ascii="宋体" w:hAnsi="宋体" w:eastAsia="宋体" w:cs="宋体"/>
                <w:b w:val="0"/>
                <w:bCs w:val="0"/>
                <w:color w:val="000000"/>
                <w:sz w:val="21"/>
                <w:szCs w:val="21"/>
                <w:lang w:val="en-US" w:eastAsia="zh-CN"/>
              </w:rPr>
              <w:t>〕</w:t>
            </w:r>
            <w:r>
              <w:rPr>
                <w:rFonts w:hint="default" w:ascii="Times New Roman" w:hAnsi="Times New Roman" w:cs="Times New Roman"/>
                <w:b w:val="0"/>
                <w:bCs w:val="0"/>
                <w:color w:val="000000"/>
                <w:sz w:val="21"/>
                <w:szCs w:val="21"/>
                <w:lang w:val="en-US" w:eastAsia="zh-CN"/>
              </w:rPr>
              <w:t>109</w:t>
            </w:r>
            <w:r>
              <w:rPr>
                <w:rFonts w:hint="default" w:ascii="Times New Roman" w:hAnsi="Times New Roman" w:eastAsia="宋体" w:cs="Times New Roman"/>
                <w:b w:val="0"/>
                <w:bCs w:val="0"/>
                <w:color w:val="000000"/>
                <w:sz w:val="21"/>
                <w:szCs w:val="21"/>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环评编制单位</w:t>
            </w:r>
          </w:p>
        </w:tc>
        <w:tc>
          <w:tcPr>
            <w:tcW w:w="1352"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江苏艾弗瑞环保科技有限公司</w:t>
            </w:r>
          </w:p>
        </w:tc>
        <w:tc>
          <w:tcPr>
            <w:tcW w:w="1015"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环评编制时间</w:t>
            </w:r>
          </w:p>
        </w:tc>
        <w:tc>
          <w:tcPr>
            <w:tcW w:w="1650"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20</w:t>
            </w:r>
            <w:r>
              <w:rPr>
                <w:rFonts w:hint="default" w:ascii="Times New Roman" w:hAnsi="Times New Roman" w:cs="Times New Roman"/>
                <w:b w:val="0"/>
                <w:bCs w:val="0"/>
                <w:color w:val="000000"/>
                <w:sz w:val="21"/>
                <w:szCs w:val="21"/>
                <w:lang w:val="en-US" w:eastAsia="zh-CN"/>
              </w:rPr>
              <w:t>20</w:t>
            </w:r>
            <w:r>
              <w:rPr>
                <w:rFonts w:hint="default" w:ascii="Times New Roman" w:hAnsi="Times New Roman" w:eastAsia="宋体" w:cs="Times New Roman"/>
                <w:b w:val="0"/>
                <w:bCs w:val="0"/>
                <w:color w:val="000000"/>
                <w:sz w:val="21"/>
                <w:szCs w:val="21"/>
                <w:lang w:val="en-US" w:eastAsia="zh-CN"/>
              </w:rPr>
              <w:t>年</w:t>
            </w:r>
            <w:r>
              <w:rPr>
                <w:rFonts w:hint="eastAsia" w:ascii="Times New Roman" w:hAnsi="Times New Roman" w:cs="Times New Roman"/>
                <w:b w:val="0"/>
                <w:bCs w:val="0"/>
                <w:color w:val="000000"/>
                <w:sz w:val="21"/>
                <w:szCs w:val="21"/>
                <w:lang w:val="en-US" w:eastAsia="zh-CN"/>
              </w:rPr>
              <w:t>4</w:t>
            </w:r>
            <w:r>
              <w:rPr>
                <w:rFonts w:hint="default" w:ascii="Times New Roman" w:hAnsi="Times New Roman" w:eastAsia="宋体" w:cs="Times New Roman"/>
                <w:b w:val="0"/>
                <w:bCs w:val="0"/>
                <w:color w:val="000000"/>
                <w:sz w:val="21"/>
                <w:szCs w:val="21"/>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环评审批单位</w:t>
            </w:r>
          </w:p>
        </w:tc>
        <w:tc>
          <w:tcPr>
            <w:tcW w:w="1352"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江苏省张家港保税区管理委员会</w:t>
            </w:r>
          </w:p>
        </w:tc>
        <w:tc>
          <w:tcPr>
            <w:tcW w:w="1015"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审批文号/时间</w:t>
            </w:r>
          </w:p>
        </w:tc>
        <w:tc>
          <w:tcPr>
            <w:tcW w:w="1650"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张保审批</w:t>
            </w:r>
            <w:r>
              <w:rPr>
                <w:rFonts w:hint="eastAsia" w:ascii="宋体" w:hAnsi="宋体" w:eastAsia="宋体" w:cs="宋体"/>
                <w:b w:val="0"/>
                <w:bCs w:val="0"/>
                <w:color w:val="000000"/>
                <w:sz w:val="21"/>
                <w:szCs w:val="21"/>
                <w:lang w:val="en-US" w:eastAsia="zh-CN"/>
              </w:rPr>
              <w:t>〔</w:t>
            </w:r>
            <w:r>
              <w:rPr>
                <w:rFonts w:hint="default" w:ascii="Times New Roman" w:hAnsi="Times New Roman" w:eastAsia="宋体" w:cs="Times New Roman"/>
                <w:b w:val="0"/>
                <w:bCs w:val="0"/>
                <w:color w:val="000000"/>
                <w:sz w:val="21"/>
                <w:szCs w:val="21"/>
                <w:lang w:val="en-US" w:eastAsia="zh-CN"/>
              </w:rPr>
              <w:t>20</w:t>
            </w:r>
            <w:r>
              <w:rPr>
                <w:rFonts w:hint="default" w:ascii="Times New Roman" w:hAnsi="Times New Roman" w:cs="Times New Roman"/>
                <w:b w:val="0"/>
                <w:bCs w:val="0"/>
                <w:color w:val="000000"/>
                <w:sz w:val="21"/>
                <w:szCs w:val="21"/>
                <w:lang w:val="en-US" w:eastAsia="zh-CN"/>
              </w:rPr>
              <w:t>20</w:t>
            </w:r>
            <w:r>
              <w:rPr>
                <w:rFonts w:hint="eastAsia" w:ascii="宋体" w:hAnsi="宋体" w:eastAsia="宋体" w:cs="宋体"/>
                <w:b w:val="0"/>
                <w:bCs w:val="0"/>
                <w:color w:val="000000"/>
                <w:sz w:val="21"/>
                <w:szCs w:val="21"/>
                <w:lang w:val="en-US" w:eastAsia="zh-CN"/>
              </w:rPr>
              <w:t>〕</w:t>
            </w:r>
            <w:r>
              <w:rPr>
                <w:rFonts w:hint="default" w:ascii="Times New Roman" w:hAnsi="Times New Roman" w:cs="Times New Roman"/>
                <w:b w:val="0"/>
                <w:bCs w:val="0"/>
                <w:color w:val="000000"/>
                <w:sz w:val="21"/>
                <w:szCs w:val="21"/>
                <w:lang w:val="en-US" w:eastAsia="zh-CN"/>
              </w:rPr>
              <w:t>91</w:t>
            </w:r>
            <w:r>
              <w:rPr>
                <w:rFonts w:hint="default" w:ascii="Times New Roman" w:hAnsi="Times New Roman" w:eastAsia="宋体" w:cs="Times New Roman"/>
                <w:b w:val="0"/>
                <w:bCs w:val="0"/>
                <w:color w:val="000000"/>
                <w:sz w:val="21"/>
                <w:szCs w:val="21"/>
                <w:lang w:val="en-US" w:eastAsia="zh-CN"/>
              </w:rPr>
              <w:t>号/2020年</w:t>
            </w:r>
            <w:r>
              <w:rPr>
                <w:rFonts w:hint="default" w:ascii="Times New Roman" w:hAnsi="Times New Roman" w:cs="Times New Roman"/>
                <w:b w:val="0"/>
                <w:bCs w:val="0"/>
                <w:color w:val="000000"/>
                <w:sz w:val="21"/>
                <w:szCs w:val="21"/>
                <w:lang w:val="en-US" w:eastAsia="zh-CN"/>
              </w:rPr>
              <w:t>5</w:t>
            </w:r>
            <w:r>
              <w:rPr>
                <w:rFonts w:hint="default" w:ascii="Times New Roman" w:hAnsi="Times New Roman" w:eastAsia="宋体" w:cs="Times New Roman"/>
                <w:b w:val="0"/>
                <w:bCs w:val="0"/>
                <w:color w:val="000000"/>
                <w:sz w:val="21"/>
                <w:szCs w:val="21"/>
                <w:lang w:val="en-US" w:eastAsia="zh-CN"/>
              </w:rPr>
              <w:t>月</w:t>
            </w:r>
            <w:r>
              <w:rPr>
                <w:rFonts w:hint="default" w:ascii="Times New Roman" w:hAnsi="Times New Roman" w:cs="Times New Roman"/>
                <w:b w:val="0"/>
                <w:bCs w:val="0"/>
                <w:color w:val="000000"/>
                <w:sz w:val="21"/>
                <w:szCs w:val="21"/>
                <w:lang w:val="en-US" w:eastAsia="zh-CN"/>
              </w:rPr>
              <w:t>12</w:t>
            </w:r>
            <w:r>
              <w:rPr>
                <w:rFonts w:hint="default" w:ascii="Times New Roman" w:hAnsi="Times New Roman" w:eastAsia="宋体" w:cs="Times New Roman"/>
                <w:b w:val="0"/>
                <w:bCs w:val="0"/>
                <w:color w:val="000000"/>
                <w:sz w:val="21"/>
                <w:szCs w:val="21"/>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开工时间</w:t>
            </w:r>
          </w:p>
        </w:tc>
        <w:tc>
          <w:tcPr>
            <w:tcW w:w="1352"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2020年</w:t>
            </w:r>
            <w:r>
              <w:rPr>
                <w:rFonts w:hint="eastAsia" w:ascii="Times New Roman" w:hAnsi="Times New Roman" w:cs="Times New Roman"/>
                <w:b w:val="0"/>
                <w:bCs w:val="0"/>
                <w:color w:val="000000"/>
                <w:sz w:val="21"/>
                <w:szCs w:val="21"/>
                <w:lang w:val="en-US" w:eastAsia="zh-CN"/>
              </w:rPr>
              <w:t>6</w:t>
            </w:r>
            <w:r>
              <w:rPr>
                <w:rFonts w:hint="default" w:ascii="Times New Roman" w:hAnsi="Times New Roman" w:cs="Times New Roman"/>
                <w:b w:val="0"/>
                <w:bCs w:val="0"/>
                <w:color w:val="000000"/>
                <w:sz w:val="21"/>
                <w:szCs w:val="21"/>
                <w:lang w:val="en-US" w:eastAsia="zh-CN"/>
              </w:rPr>
              <w:t>月</w:t>
            </w:r>
          </w:p>
        </w:tc>
        <w:tc>
          <w:tcPr>
            <w:tcW w:w="1015"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建成生产时间</w:t>
            </w:r>
          </w:p>
        </w:tc>
        <w:tc>
          <w:tcPr>
            <w:tcW w:w="1650"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202</w:t>
            </w:r>
            <w:r>
              <w:rPr>
                <w:rFonts w:hint="eastAsia" w:cs="Times New Roman"/>
                <w:b w:val="0"/>
                <w:bCs w:val="0"/>
                <w:color w:val="000000"/>
                <w:sz w:val="21"/>
                <w:szCs w:val="21"/>
                <w:lang w:val="en-US" w:eastAsia="zh-CN"/>
              </w:rPr>
              <w:t>2</w:t>
            </w:r>
            <w:r>
              <w:rPr>
                <w:rFonts w:hint="default" w:ascii="Times New Roman" w:hAnsi="Times New Roman" w:cs="Times New Roman"/>
                <w:b w:val="0"/>
                <w:bCs w:val="0"/>
                <w:color w:val="000000"/>
                <w:sz w:val="21"/>
                <w:szCs w:val="21"/>
                <w:lang w:val="en-US" w:eastAsia="zh-CN"/>
              </w:rPr>
              <w:t>年</w:t>
            </w:r>
            <w:r>
              <w:rPr>
                <w:rFonts w:hint="eastAsia" w:cs="Times New Roman"/>
                <w:b w:val="0"/>
                <w:bCs w:val="0"/>
                <w:color w:val="000000"/>
                <w:sz w:val="21"/>
                <w:szCs w:val="21"/>
                <w:lang w:val="en-US" w:eastAsia="zh-CN"/>
              </w:rPr>
              <w:t>1</w:t>
            </w:r>
            <w:r>
              <w:rPr>
                <w:rFonts w:hint="default" w:ascii="Times New Roman" w:hAnsi="Times New Roman" w:cs="Times New Roman"/>
                <w:b w:val="0"/>
                <w:bCs w:val="0"/>
                <w:color w:val="000000"/>
                <w:sz w:val="21"/>
                <w:szCs w:val="21"/>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固定污染源排污登记</w:t>
            </w:r>
          </w:p>
        </w:tc>
        <w:tc>
          <w:tcPr>
            <w:tcW w:w="4018"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913205</w:t>
            </w:r>
            <w:r>
              <w:rPr>
                <w:rFonts w:hint="default" w:ascii="Times New Roman" w:hAnsi="Times New Roman" w:cs="Times New Roman"/>
                <w:b w:val="0"/>
                <w:bCs w:val="0"/>
                <w:color w:val="000000"/>
                <w:sz w:val="21"/>
                <w:szCs w:val="21"/>
                <w:lang w:val="en-US" w:eastAsia="zh-CN"/>
              </w:rPr>
              <w:t>92MA20WMLN70001X</w:t>
            </w:r>
            <w:r>
              <w:rPr>
                <w:rFonts w:hint="default" w:ascii="Times New Roman" w:hAnsi="Times New Roman" w:eastAsia="宋体" w:cs="Times New Roman"/>
                <w:b w:val="0"/>
                <w:bCs w:val="0"/>
                <w:color w:val="000000"/>
                <w:sz w:val="21"/>
                <w:szCs w:val="21"/>
                <w:lang w:val="en-US" w:eastAsia="zh-CN"/>
              </w:rPr>
              <w:t>，2020年</w:t>
            </w:r>
            <w:r>
              <w:rPr>
                <w:rFonts w:hint="default" w:ascii="Times New Roman" w:hAnsi="Times New Roman" w:cs="Times New Roman"/>
                <w:b w:val="0"/>
                <w:bCs w:val="0"/>
                <w:color w:val="000000"/>
                <w:sz w:val="21"/>
                <w:szCs w:val="21"/>
                <w:lang w:val="en-US" w:eastAsia="zh-CN"/>
              </w:rPr>
              <w:t>11</w:t>
            </w:r>
            <w:r>
              <w:rPr>
                <w:rFonts w:hint="default" w:ascii="Times New Roman" w:hAnsi="Times New Roman" w:eastAsia="宋体" w:cs="Times New Roman"/>
                <w:b w:val="0"/>
                <w:bCs w:val="0"/>
                <w:color w:val="000000"/>
                <w:sz w:val="21"/>
                <w:szCs w:val="21"/>
                <w:lang w:val="en-US" w:eastAsia="zh-CN"/>
              </w:rPr>
              <w:t>月</w:t>
            </w:r>
            <w:r>
              <w:rPr>
                <w:rFonts w:hint="default" w:ascii="Times New Roman" w:hAnsi="Times New Roman" w:cs="Times New Roman"/>
                <w:b w:val="0"/>
                <w:bCs w:val="0"/>
                <w:color w:val="000000"/>
                <w:sz w:val="21"/>
                <w:szCs w:val="21"/>
                <w:lang w:val="en-US" w:eastAsia="zh-CN"/>
              </w:rPr>
              <w:t>10</w:t>
            </w:r>
            <w:r>
              <w:rPr>
                <w:rFonts w:hint="default" w:ascii="Times New Roman" w:hAnsi="Times New Roman" w:eastAsia="宋体" w:cs="Times New Roman"/>
                <w:b w:val="0"/>
                <w:bCs w:val="0"/>
                <w:color w:val="000000"/>
                <w:sz w:val="21"/>
                <w:szCs w:val="21"/>
                <w:lang w:val="en-US" w:eastAsia="zh-CN"/>
              </w:rPr>
              <w:t>日-202</w:t>
            </w:r>
            <w:r>
              <w:rPr>
                <w:rFonts w:hint="default" w:ascii="Times New Roman" w:hAnsi="Times New Roman" w:cs="Times New Roman"/>
                <w:b w:val="0"/>
                <w:bCs w:val="0"/>
                <w:color w:val="000000"/>
                <w:sz w:val="21"/>
                <w:szCs w:val="21"/>
                <w:lang w:val="en-US" w:eastAsia="zh-CN"/>
              </w:rPr>
              <w:t>5</w:t>
            </w:r>
            <w:r>
              <w:rPr>
                <w:rFonts w:hint="default" w:ascii="Times New Roman" w:hAnsi="Times New Roman" w:eastAsia="宋体" w:cs="Times New Roman"/>
                <w:b w:val="0"/>
                <w:bCs w:val="0"/>
                <w:color w:val="000000"/>
                <w:sz w:val="21"/>
                <w:szCs w:val="21"/>
                <w:lang w:val="en-US" w:eastAsia="zh-CN"/>
              </w:rPr>
              <w:t>年</w:t>
            </w:r>
            <w:r>
              <w:rPr>
                <w:rFonts w:hint="default" w:ascii="Times New Roman" w:hAnsi="Times New Roman" w:cs="Times New Roman"/>
                <w:b w:val="0"/>
                <w:bCs w:val="0"/>
                <w:color w:val="000000"/>
                <w:sz w:val="21"/>
                <w:szCs w:val="21"/>
                <w:lang w:val="en-US" w:eastAsia="zh-CN"/>
              </w:rPr>
              <w:t>11</w:t>
            </w:r>
            <w:r>
              <w:rPr>
                <w:rFonts w:hint="default" w:ascii="Times New Roman" w:hAnsi="Times New Roman" w:eastAsia="宋体" w:cs="Times New Roman"/>
                <w:b w:val="0"/>
                <w:bCs w:val="0"/>
                <w:color w:val="000000"/>
                <w:sz w:val="21"/>
                <w:szCs w:val="21"/>
                <w:lang w:val="en-US" w:eastAsia="zh-CN"/>
              </w:rPr>
              <w:t>月</w:t>
            </w:r>
            <w:r>
              <w:rPr>
                <w:rFonts w:hint="default" w:ascii="Times New Roman" w:hAnsi="Times New Roman" w:cs="Times New Roman"/>
                <w:b w:val="0"/>
                <w:bCs w:val="0"/>
                <w:color w:val="000000"/>
                <w:sz w:val="21"/>
                <w:szCs w:val="21"/>
                <w:lang w:val="en-US" w:eastAsia="zh-CN"/>
              </w:rPr>
              <w:t>9</w:t>
            </w:r>
            <w:r>
              <w:rPr>
                <w:rFonts w:hint="default" w:ascii="Times New Roman" w:hAnsi="Times New Roman" w:eastAsia="宋体" w:cs="Times New Roman"/>
                <w:b w:val="0"/>
                <w:bCs w:val="0"/>
                <w:color w:val="000000"/>
                <w:sz w:val="21"/>
                <w:szCs w:val="21"/>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验收监测时间</w:t>
            </w:r>
          </w:p>
        </w:tc>
        <w:tc>
          <w:tcPr>
            <w:tcW w:w="4018"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2022年5月26日、27日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投资（万元）</w:t>
            </w:r>
          </w:p>
        </w:tc>
        <w:tc>
          <w:tcPr>
            <w:tcW w:w="60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1000</w:t>
            </w:r>
          </w:p>
        </w:tc>
        <w:tc>
          <w:tcPr>
            <w:tcW w:w="7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其中：环保投资（万元）</w:t>
            </w:r>
          </w:p>
        </w:tc>
        <w:tc>
          <w:tcPr>
            <w:tcW w:w="7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20</w:t>
            </w:r>
          </w:p>
        </w:tc>
        <w:tc>
          <w:tcPr>
            <w:tcW w:w="94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环保投资占总投资比例</w:t>
            </w:r>
          </w:p>
        </w:tc>
        <w:tc>
          <w:tcPr>
            <w:tcW w:w="9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2.0</w:t>
            </w:r>
            <w:r>
              <w:rPr>
                <w:rFonts w:hint="default" w:ascii="Times New Roman" w:hAnsi="Times New Roman" w:eastAsia="宋体"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验收监测依据</w:t>
            </w:r>
          </w:p>
        </w:tc>
        <w:tc>
          <w:tcPr>
            <w:tcW w:w="4018" w:type="pct"/>
            <w:gridSpan w:val="6"/>
            <w:vAlign w:val="center"/>
          </w:tcPr>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《中华人民共和国环境保护法》（2015.1.1实施）</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《中华人民共和国水污染防治法》（2017-6-27第二次修订）；</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《中华人民共和国大气污染防治法》（中华人民共和国主席令第三十一号），自2016年1月1日起施行；</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《中华人民共和国噪声污染防治法》（</w:t>
            </w:r>
            <w:r>
              <w:rPr>
                <w:rFonts w:hint="default" w:ascii="Times New Roman" w:hAnsi="Times New Roman" w:cs="Times New Roman"/>
                <w:lang w:val="en-US" w:eastAsia="zh-CN"/>
              </w:rPr>
              <w:t>中华人民共和国主席令第</w:t>
            </w:r>
            <w:r>
              <w:rPr>
                <w:rFonts w:hint="eastAsia" w:ascii="Times New Roman" w:hAnsi="Times New Roman" w:cs="Times New Roman"/>
                <w:lang w:val="en-US" w:eastAsia="zh-CN"/>
              </w:rPr>
              <w:t>一O四</w:t>
            </w:r>
            <w:r>
              <w:rPr>
                <w:rFonts w:hint="default" w:ascii="Times New Roman" w:hAnsi="Times New Roman" w:cs="Times New Roman"/>
                <w:lang w:val="en-US" w:eastAsia="zh-CN"/>
              </w:rPr>
              <w:t>号），自20</w:t>
            </w:r>
            <w:r>
              <w:rPr>
                <w:rFonts w:hint="eastAsia" w:ascii="Times New Roman" w:hAnsi="Times New Roman" w:cs="Times New Roman"/>
                <w:lang w:val="en-US" w:eastAsia="zh-CN"/>
              </w:rPr>
              <w:t>22</w:t>
            </w:r>
            <w:r>
              <w:rPr>
                <w:rFonts w:hint="default" w:ascii="Times New Roman" w:hAnsi="Times New Roman" w:cs="Times New Roman"/>
                <w:lang w:val="en-US" w:eastAsia="zh-CN"/>
              </w:rPr>
              <w:t>年</w:t>
            </w:r>
            <w:r>
              <w:rPr>
                <w:rFonts w:hint="eastAsia" w:ascii="Times New Roman" w:hAnsi="Times New Roman" w:cs="Times New Roman"/>
                <w:lang w:val="en-US" w:eastAsia="zh-CN"/>
              </w:rPr>
              <w:t>6</w:t>
            </w:r>
            <w:r>
              <w:rPr>
                <w:rFonts w:hint="default" w:ascii="Times New Roman" w:hAnsi="Times New Roman" w:cs="Times New Roman"/>
                <w:lang w:val="en-US" w:eastAsia="zh-CN"/>
              </w:rPr>
              <w:t>月</w:t>
            </w:r>
            <w:r>
              <w:rPr>
                <w:rFonts w:hint="eastAsia" w:ascii="Times New Roman" w:hAnsi="Times New Roman" w:cs="Times New Roman"/>
                <w:lang w:val="en-US" w:eastAsia="zh-CN"/>
              </w:rPr>
              <w:t>5</w:t>
            </w:r>
            <w:r>
              <w:rPr>
                <w:rFonts w:hint="default" w:ascii="Times New Roman" w:hAnsi="Times New Roman" w:cs="Times New Roman"/>
                <w:lang w:val="en-US" w:eastAsia="zh-CN"/>
              </w:rPr>
              <w:t>日起施行</w:t>
            </w:r>
            <w:r>
              <w:rPr>
                <w:rFonts w:hint="eastAsia" w:ascii="Times New Roman" w:hAnsi="Times New Roman" w:cs="Times New Roman"/>
                <w:lang w:val="en-US" w:eastAsia="zh-CN"/>
              </w:rPr>
              <w:t>；</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《中华人民共和国固体废物污染环境防治法》（中华人民共和国主席令第四十三号），2020年4月29日；</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《建设项目环境保护管理条例》（中华人民共和国国务院令第682号，2017年7月16日）；</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《排污许可管理条例》（中华人民共和国国务院令第736号，2021年3月1日施行）；</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关于公开征求《关于规范建设单位自主开展建设项目竣工环境保护验收的通知（征求意见稿）》意见的通知（环境保护部办公厅函 环办环评函[2017]1235号，2017年8月3日）；</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《建设项目竣工环境保护验收暂行办法》（环境保护部 国环规环评[2017]4号，2017年11月20日）；</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《建设项目竣工环境保护验收技术指南 污染影响类 》（生态环境部 公告[2018]第9号，2018年5月16日）；</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《污染影响类建设项目重大变动清单（试行）》（生态环境部 环办环评函[2020]688号）；</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《国家危险废物名录》（2021版）</w:t>
            </w:r>
            <w:r>
              <w:rPr>
                <w:rFonts w:hint="default" w:ascii="Times New Roman" w:hAnsi="Times New Roman" w:cs="Times New Roman"/>
                <w:lang w:val="en-US" w:eastAsia="zh-CN"/>
              </w:rPr>
              <w:t>；</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关于做好《国家危险废物名录》（2021版）实施后危险废物环境管理衔接工作的通知,（江苏省生态环境厅，苏环办[2021]22号，2021年1月26日）；</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《关于建设项目竣工环境保护验收有关事项的通知》（江苏省环保厅 苏环办[2018]34号，2018年1月26日）；</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《省生态环境厅关于加强涉变动项目环评与排污许可管理衔接的通知》（江苏省生态环境厅，苏环办[2021]122号，2021年4月2日）；</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《一般工业固体废物贮存和填埋污染控制标准》（GB 18599-2020）；</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eastAsia="宋体" w:cs="Times New Roman"/>
                <w:lang w:val="en-US" w:eastAsia="zh-CN"/>
              </w:rPr>
            </w:pPr>
            <w:r>
              <w:rPr>
                <w:rFonts w:hint="default" w:ascii="Times New Roman" w:hAnsi="Times New Roman" w:cs="Times New Roman"/>
                <w:lang w:val="en-US" w:eastAsia="zh-CN"/>
              </w:rPr>
              <w:t>《危险废物贮存污染控制标准》（GB 18597-2001）2013年修订；</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《科福兴新材料科技（江苏）有限公司年产10万张海绵床垫项目环境影响报告表》（江苏艾弗瑞环保科技有限公司，2020年3月）；</w:t>
            </w:r>
          </w:p>
          <w:p>
            <w:pPr>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20" w:leftChars="0" w:firstLine="400" w:firstLineChars="0"/>
              <w:jc w:val="left"/>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《科福兴新材料科技（江苏）有限公司年产10万张海绵床垫项目环境影响报告表的审批意见》（江苏省张家港保税区管理委员会，张保审批</w:t>
            </w:r>
            <w:r>
              <w:rPr>
                <w:rFonts w:hint="eastAsia" w:ascii="宋体" w:hAnsi="宋体" w:eastAsia="宋体" w:cs="宋体"/>
                <w:b w:val="0"/>
                <w:bCs w:val="0"/>
                <w:color w:val="000000"/>
                <w:sz w:val="21"/>
                <w:szCs w:val="21"/>
                <w:lang w:val="en-US" w:eastAsia="zh-CN"/>
              </w:rPr>
              <w:t>〔</w:t>
            </w:r>
            <w:r>
              <w:rPr>
                <w:rFonts w:hint="default" w:ascii="Times New Roman" w:hAnsi="Times New Roman" w:eastAsia="宋体" w:cs="Times New Roman"/>
                <w:b w:val="0"/>
                <w:bCs w:val="0"/>
                <w:color w:val="000000"/>
                <w:sz w:val="21"/>
                <w:szCs w:val="21"/>
                <w:lang w:val="en-US" w:eastAsia="zh-CN"/>
              </w:rPr>
              <w:t>20</w:t>
            </w:r>
            <w:r>
              <w:rPr>
                <w:rFonts w:hint="default" w:ascii="Times New Roman" w:hAnsi="Times New Roman" w:cs="Times New Roman"/>
                <w:b w:val="0"/>
                <w:bCs w:val="0"/>
                <w:color w:val="000000"/>
                <w:sz w:val="21"/>
                <w:szCs w:val="21"/>
                <w:lang w:val="en-US" w:eastAsia="zh-CN"/>
              </w:rPr>
              <w:t>20</w:t>
            </w:r>
            <w:r>
              <w:rPr>
                <w:rFonts w:hint="eastAsia" w:ascii="宋体" w:hAnsi="宋体" w:eastAsia="宋体" w:cs="宋体"/>
                <w:b w:val="0"/>
                <w:bCs w:val="0"/>
                <w:color w:val="000000"/>
                <w:sz w:val="21"/>
                <w:szCs w:val="21"/>
                <w:lang w:val="en-US" w:eastAsia="zh-CN"/>
              </w:rPr>
              <w:t>〕</w:t>
            </w:r>
            <w:r>
              <w:rPr>
                <w:rFonts w:hint="default" w:ascii="Times New Roman" w:hAnsi="Times New Roman" w:eastAsia="宋体" w:cs="Times New Roman"/>
                <w:lang w:val="en-US" w:eastAsia="zh-CN"/>
              </w:rPr>
              <w:t>91号，2020年5月12日）。</w:t>
            </w:r>
          </w:p>
          <w:p>
            <w:pPr>
              <w:pStyle w:val="2"/>
              <w:rPr>
                <w:rFonts w:hint="default" w:ascii="Times New Roman" w:hAnsi="Times New Roman" w:eastAsia="宋体" w:cs="Times New Roman"/>
                <w:kern w:val="0"/>
                <w:sz w:val="21"/>
                <w:szCs w:val="20"/>
                <w:highlight w:val="none"/>
                <w:lang w:val="en-US" w:eastAsia="zh-CN" w:bidi="ar-SA"/>
              </w:rPr>
            </w:pPr>
          </w:p>
          <w:p>
            <w:pPr>
              <w:pStyle w:val="2"/>
              <w:rPr>
                <w:rFonts w:hint="default" w:ascii="Times New Roman" w:hAnsi="Times New Roman" w:eastAsia="宋体" w:cs="Times New Roman"/>
                <w:kern w:val="0"/>
                <w:sz w:val="21"/>
                <w:szCs w:val="20"/>
                <w:highlight w:val="none"/>
                <w:lang w:val="en-US" w:eastAsia="zh-CN" w:bidi="ar-SA"/>
              </w:rPr>
            </w:pPr>
          </w:p>
          <w:p>
            <w:pPr>
              <w:pStyle w:val="2"/>
              <w:rPr>
                <w:rFonts w:hint="default" w:ascii="Times New Roman" w:hAnsi="Times New Roman" w:eastAsia="宋体" w:cs="Times New Roman"/>
                <w:kern w:val="0"/>
                <w:sz w:val="21"/>
                <w:szCs w:val="20"/>
                <w:highlight w:val="none"/>
                <w:lang w:val="en-US" w:eastAsia="zh-CN" w:bidi="ar-SA"/>
              </w:rPr>
            </w:pPr>
          </w:p>
          <w:p>
            <w:pPr>
              <w:pStyle w:val="2"/>
              <w:rPr>
                <w:rFonts w:hint="default" w:ascii="Times New Roman" w:hAnsi="Times New Roman" w:eastAsia="宋体" w:cs="Times New Roman"/>
                <w:kern w:val="0"/>
                <w:sz w:val="21"/>
                <w:szCs w:val="20"/>
                <w:highlight w:val="none"/>
                <w:lang w:val="en-US" w:eastAsia="zh-CN" w:bidi="ar-SA"/>
              </w:rPr>
            </w:pPr>
          </w:p>
        </w:tc>
      </w:tr>
    </w:tbl>
    <w:p>
      <w:pPr>
        <w:spacing w:line="360" w:lineRule="auto"/>
        <w:rPr>
          <w:rFonts w:hint="default" w:ascii="Times New Roman" w:hAnsi="Times New Roman" w:eastAsia="宋体" w:cs="Times New Roman"/>
          <w:sz w:val="32"/>
          <w:szCs w:val="32"/>
        </w:rPr>
      </w:pPr>
      <w:r>
        <w:rPr>
          <w:rFonts w:hint="default" w:ascii="Times New Roman" w:hAnsi="Times New Roman" w:eastAsia="宋体" w:cs="Times New Roman"/>
          <w:sz w:val="32"/>
          <w:szCs w:val="32"/>
        </w:rPr>
        <w:br w:type="page"/>
      </w:r>
    </w:p>
    <w:p>
      <w:pPr>
        <w:pStyle w:val="3"/>
        <w:keepNext/>
        <w:keepLines/>
        <w:pageBreakBefore/>
        <w:bidi w:val="0"/>
        <w:spacing w:before="0" w:beforeAutospacing="0" w:after="0" w:afterLines="0" w:afterAutospacing="0" w:line="360" w:lineRule="auto"/>
        <w:ind w:firstLine="0" w:firstLineChars="0"/>
        <w:jc w:val="both"/>
        <w:outlineLvl w:val="0"/>
        <w:rPr>
          <w:rFonts w:hint="default" w:ascii="Times New Roman" w:hAnsi="Times New Roman" w:eastAsia="宋体" w:cs="Times New Roman"/>
          <w:sz w:val="28"/>
          <w:szCs w:val="24"/>
          <w:lang w:bidi="ar-SA"/>
        </w:rPr>
      </w:pPr>
      <w:bookmarkStart w:id="3" w:name="_Toc20909"/>
      <w:r>
        <w:rPr>
          <w:rFonts w:hint="default" w:ascii="Times New Roman" w:hAnsi="Times New Roman" w:eastAsia="宋体" w:cs="Times New Roman"/>
          <w:sz w:val="28"/>
          <w:szCs w:val="24"/>
          <w:lang w:bidi="ar-SA"/>
        </w:rPr>
        <w:t>表二、项目概况</w:t>
      </w:r>
      <w:bookmarkEnd w:id="3"/>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60" w:hRule="atLeast"/>
          <w:jc w:val="center"/>
        </w:trPr>
        <w:tc>
          <w:tcPr>
            <w:tcW w:w="8522" w:type="dxa"/>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1、项目简介</w:t>
            </w:r>
          </w:p>
          <w:p>
            <w:pPr>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科福兴新材料科技（江苏）有限公司成立于2020年2月21日，位于张家港市金港镇港西村长阳路8号。企业租用江苏赛胜新材料科技有限公司（原名：张家港长泰汽车饰件材料有限公司）厂房8000平方米，生产高密度海绵床垫</w:t>
            </w:r>
            <w:r>
              <w:rPr>
                <w:rFonts w:hint="eastAsia" w:cs="Times New Roman"/>
                <w:snapToGrid w:val="0"/>
                <w:kern w:val="0"/>
                <w:sz w:val="24"/>
                <w:lang w:val="en-US" w:eastAsia="zh-CN"/>
              </w:rPr>
              <w:t>，</w:t>
            </w:r>
            <w:r>
              <w:rPr>
                <w:rFonts w:hint="default" w:ascii="Times New Roman" w:hAnsi="Times New Roman" w:cs="Times New Roman"/>
                <w:snapToGrid w:val="0"/>
                <w:kern w:val="0"/>
                <w:sz w:val="24"/>
                <w:lang w:val="en-US" w:eastAsia="zh-CN"/>
              </w:rPr>
              <w:t>主要原材料为高密度海绵，经海绵剪切、面料符合、组合、围边、检验及包装等工艺完成产品制作</w:t>
            </w:r>
            <w:r>
              <w:rPr>
                <w:rFonts w:hint="eastAsia" w:cs="Times New Roman"/>
                <w:snapToGrid w:val="0"/>
                <w:kern w:val="0"/>
                <w:sz w:val="24"/>
                <w:lang w:val="en-US" w:eastAsia="zh-CN"/>
              </w:rPr>
              <w:t>，</w:t>
            </w:r>
            <w:r>
              <w:rPr>
                <w:rFonts w:hint="default" w:ascii="Times New Roman" w:hAnsi="Times New Roman" w:cs="Times New Roman"/>
                <w:snapToGrid w:val="0"/>
                <w:kern w:val="0"/>
                <w:sz w:val="24"/>
                <w:lang w:val="en-US" w:eastAsia="zh-CN"/>
              </w:rPr>
              <w:t>项目年生产10万张海绵床垫。</w:t>
            </w:r>
          </w:p>
          <w:p>
            <w:pPr>
              <w:spacing w:line="360" w:lineRule="auto"/>
              <w:ind w:firstLine="480" w:firstLineChars="200"/>
              <w:rPr>
                <w:rFonts w:hint="default" w:ascii="Times New Roman" w:hAnsi="Times New Roman" w:eastAsia="宋体" w:cs="Times New Roman"/>
                <w:snapToGrid w:val="0"/>
                <w:kern w:val="0"/>
                <w:sz w:val="24"/>
                <w:highlight w:val="none"/>
                <w:lang w:val="en-US" w:eastAsia="zh-CN"/>
              </w:rPr>
            </w:pPr>
            <w:r>
              <w:rPr>
                <w:rFonts w:hint="default" w:ascii="Times New Roman" w:hAnsi="Times New Roman" w:eastAsia="宋体" w:cs="Times New Roman"/>
                <w:snapToGrid w:val="0"/>
                <w:kern w:val="0"/>
                <w:sz w:val="24"/>
                <w:lang w:val="en-US" w:eastAsia="zh-CN"/>
              </w:rPr>
              <w:t>项目202</w:t>
            </w:r>
            <w:r>
              <w:rPr>
                <w:rFonts w:hint="default" w:ascii="Times New Roman" w:hAnsi="Times New Roman" w:cs="Times New Roman"/>
                <w:snapToGrid w:val="0"/>
                <w:kern w:val="0"/>
                <w:sz w:val="24"/>
                <w:lang w:val="en-US" w:eastAsia="zh-CN"/>
              </w:rPr>
              <w:t>0</w:t>
            </w:r>
            <w:r>
              <w:rPr>
                <w:rFonts w:hint="default" w:ascii="Times New Roman" w:hAnsi="Times New Roman" w:eastAsia="宋体" w:cs="Times New Roman"/>
                <w:snapToGrid w:val="0"/>
                <w:kern w:val="0"/>
                <w:sz w:val="24"/>
                <w:lang w:val="en-US" w:eastAsia="zh-CN"/>
              </w:rPr>
              <w:t>年</w:t>
            </w:r>
            <w:r>
              <w:rPr>
                <w:rFonts w:hint="default" w:ascii="Times New Roman" w:hAnsi="Times New Roman" w:cs="Times New Roman"/>
                <w:snapToGrid w:val="0"/>
                <w:kern w:val="0"/>
                <w:sz w:val="24"/>
                <w:lang w:val="en-US" w:eastAsia="zh-CN"/>
              </w:rPr>
              <w:t>4</w:t>
            </w:r>
            <w:r>
              <w:rPr>
                <w:rFonts w:hint="default" w:ascii="Times New Roman" w:hAnsi="Times New Roman" w:eastAsia="宋体" w:cs="Times New Roman"/>
                <w:snapToGrid w:val="0"/>
                <w:kern w:val="0"/>
                <w:sz w:val="24"/>
                <w:lang w:val="en-US" w:eastAsia="zh-CN"/>
              </w:rPr>
              <w:t>月</w:t>
            </w:r>
            <w:r>
              <w:rPr>
                <w:rFonts w:hint="default" w:ascii="Times New Roman" w:hAnsi="Times New Roman" w:cs="Times New Roman"/>
                <w:snapToGrid w:val="0"/>
                <w:kern w:val="0"/>
                <w:sz w:val="24"/>
                <w:lang w:val="en-US" w:eastAsia="zh-CN"/>
              </w:rPr>
              <w:t>14</w:t>
            </w:r>
            <w:r>
              <w:rPr>
                <w:rFonts w:hint="default" w:ascii="Times New Roman" w:hAnsi="Times New Roman" w:eastAsia="宋体" w:cs="Times New Roman"/>
                <w:snapToGrid w:val="0"/>
                <w:kern w:val="0"/>
                <w:sz w:val="24"/>
                <w:lang w:val="en-US" w:eastAsia="zh-CN"/>
              </w:rPr>
              <w:t>日立项，批复文号张</w:t>
            </w:r>
            <w:r>
              <w:rPr>
                <w:rFonts w:hint="default" w:ascii="Times New Roman" w:hAnsi="Times New Roman" w:cs="Times New Roman"/>
                <w:snapToGrid w:val="0"/>
                <w:kern w:val="0"/>
                <w:sz w:val="24"/>
                <w:lang w:val="en-US" w:eastAsia="zh-CN"/>
              </w:rPr>
              <w:t>保投资</w:t>
            </w:r>
            <w:r>
              <w:rPr>
                <w:rFonts w:hint="default" w:ascii="Times New Roman" w:hAnsi="Times New Roman" w:eastAsia="宋体" w:cs="Times New Roman"/>
                <w:snapToGrid w:val="0"/>
                <w:kern w:val="0"/>
                <w:sz w:val="24"/>
                <w:lang w:val="en-US" w:eastAsia="zh-CN"/>
              </w:rPr>
              <w:t>备[202</w:t>
            </w:r>
            <w:r>
              <w:rPr>
                <w:rFonts w:hint="default" w:ascii="Times New Roman" w:hAnsi="Times New Roman" w:cs="Times New Roman"/>
                <w:snapToGrid w:val="0"/>
                <w:kern w:val="0"/>
                <w:sz w:val="24"/>
                <w:lang w:val="en-US" w:eastAsia="zh-CN"/>
              </w:rPr>
              <w:t>0</w:t>
            </w:r>
            <w:r>
              <w:rPr>
                <w:rFonts w:hint="default" w:ascii="Times New Roman" w:hAnsi="Times New Roman" w:eastAsia="宋体" w:cs="Times New Roman"/>
                <w:snapToGrid w:val="0"/>
                <w:kern w:val="0"/>
                <w:sz w:val="24"/>
                <w:lang w:val="en-US" w:eastAsia="zh-CN"/>
              </w:rPr>
              <w:t>]</w:t>
            </w:r>
            <w:r>
              <w:rPr>
                <w:rFonts w:hint="default" w:ascii="Times New Roman" w:hAnsi="Times New Roman" w:cs="Times New Roman"/>
                <w:snapToGrid w:val="0"/>
                <w:kern w:val="0"/>
                <w:sz w:val="24"/>
                <w:lang w:val="en-US" w:eastAsia="zh-CN"/>
              </w:rPr>
              <w:t>109</w:t>
            </w:r>
            <w:r>
              <w:rPr>
                <w:rFonts w:hint="default" w:ascii="Times New Roman" w:hAnsi="Times New Roman" w:eastAsia="宋体" w:cs="Times New Roman"/>
                <w:snapToGrid w:val="0"/>
                <w:kern w:val="0"/>
                <w:sz w:val="24"/>
                <w:lang w:val="en-US" w:eastAsia="zh-CN"/>
              </w:rPr>
              <w:t>号（项目代码：</w:t>
            </w:r>
            <w:r>
              <w:rPr>
                <w:rFonts w:hint="default" w:ascii="Times New Roman" w:hAnsi="Times New Roman" w:cs="Times New Roman"/>
                <w:snapToGrid w:val="0"/>
                <w:kern w:val="0"/>
                <w:sz w:val="24"/>
                <w:lang w:val="en-US" w:eastAsia="zh-CN"/>
              </w:rPr>
              <w:t>2020-320552-21-03-505971</w:t>
            </w:r>
            <w:r>
              <w:rPr>
                <w:rFonts w:hint="default" w:ascii="Times New Roman" w:hAnsi="Times New Roman" w:eastAsia="宋体" w:cs="Times New Roman"/>
                <w:snapToGrid w:val="0"/>
                <w:kern w:val="0"/>
                <w:sz w:val="24"/>
                <w:lang w:val="en-US" w:eastAsia="zh-CN"/>
              </w:rPr>
              <w:t>）</w:t>
            </w:r>
            <w:r>
              <w:rPr>
                <w:rFonts w:hint="default" w:ascii="Times New Roman" w:hAnsi="Times New Roman" w:cs="Times New Roman"/>
                <w:snapToGrid w:val="0"/>
                <w:kern w:val="0"/>
                <w:sz w:val="24"/>
                <w:lang w:val="en-US" w:eastAsia="zh-CN"/>
              </w:rPr>
              <w:t>，</w:t>
            </w:r>
            <w:r>
              <w:rPr>
                <w:rFonts w:hint="default" w:ascii="Times New Roman" w:hAnsi="Times New Roman" w:eastAsia="宋体" w:cs="Times New Roman"/>
                <w:snapToGrid w:val="0"/>
                <w:kern w:val="0"/>
                <w:sz w:val="24"/>
                <w:lang w:val="en-US" w:eastAsia="zh-CN"/>
              </w:rPr>
              <w:t>2020年</w:t>
            </w:r>
            <w:r>
              <w:rPr>
                <w:rFonts w:hint="eastAsia" w:ascii="Times New Roman" w:hAnsi="Times New Roman" w:cs="Times New Roman"/>
                <w:snapToGrid w:val="0"/>
                <w:kern w:val="0"/>
                <w:sz w:val="24"/>
                <w:lang w:val="en-US" w:eastAsia="zh-CN"/>
              </w:rPr>
              <w:t>4</w:t>
            </w:r>
            <w:r>
              <w:rPr>
                <w:rFonts w:hint="default" w:ascii="Times New Roman" w:hAnsi="Times New Roman" w:eastAsia="宋体" w:cs="Times New Roman"/>
                <w:snapToGrid w:val="0"/>
                <w:kern w:val="0"/>
                <w:sz w:val="24"/>
                <w:lang w:val="en-US" w:eastAsia="zh-CN"/>
              </w:rPr>
              <w:t>月委托江苏艾弗瑞环保科技有限公司编制完成了《</w:t>
            </w:r>
            <w:r>
              <w:rPr>
                <w:rFonts w:hint="default" w:ascii="Times New Roman" w:hAnsi="Times New Roman" w:cs="Times New Roman"/>
                <w:snapToGrid w:val="0"/>
                <w:kern w:val="0"/>
                <w:sz w:val="24"/>
                <w:lang w:val="en-US" w:eastAsia="zh-CN"/>
              </w:rPr>
              <w:t>科福兴新材料科技（江苏）有限公司年产10万张海绵床垫项目</w:t>
            </w:r>
            <w:r>
              <w:rPr>
                <w:rFonts w:hint="default" w:ascii="Times New Roman" w:hAnsi="Times New Roman" w:eastAsia="宋体" w:cs="Times New Roman"/>
                <w:snapToGrid w:val="0"/>
                <w:kern w:val="0"/>
                <w:sz w:val="24"/>
                <w:lang w:val="en-US" w:eastAsia="zh-CN"/>
              </w:rPr>
              <w:t>环境影响报告表》（以下简称“《报告表》”），江苏省张家港保税区管理委员会2020年5月12日</w:t>
            </w:r>
            <w:r>
              <w:rPr>
                <w:rFonts w:hint="default" w:ascii="Times New Roman" w:hAnsi="Times New Roman" w:eastAsia="宋体" w:cs="Times New Roman"/>
                <w:snapToGrid w:val="0"/>
                <w:kern w:val="0"/>
                <w:sz w:val="24"/>
                <w:highlight w:val="none"/>
                <w:lang w:val="en-US" w:eastAsia="zh-CN"/>
              </w:rPr>
              <w:t>予以审批（张保审批</w:t>
            </w:r>
            <w:r>
              <w:rPr>
                <w:rFonts w:hint="eastAsia" w:ascii="Times New Roman" w:hAnsi="Times New Roman" w:eastAsia="宋体" w:cs="Times New Roman"/>
                <w:snapToGrid w:val="0"/>
                <w:kern w:val="0"/>
                <w:sz w:val="24"/>
                <w:highlight w:val="none"/>
                <w:lang w:val="en-US" w:eastAsia="zh-CN"/>
              </w:rPr>
              <w:t>〔</w:t>
            </w:r>
            <w:r>
              <w:rPr>
                <w:rFonts w:hint="default" w:ascii="Times New Roman" w:hAnsi="Times New Roman" w:eastAsia="宋体" w:cs="Times New Roman"/>
                <w:snapToGrid w:val="0"/>
                <w:kern w:val="0"/>
                <w:sz w:val="24"/>
                <w:highlight w:val="none"/>
                <w:lang w:val="en-US" w:eastAsia="zh-CN"/>
              </w:rPr>
              <w:t>2020</w:t>
            </w:r>
            <w:r>
              <w:rPr>
                <w:rFonts w:hint="eastAsia" w:ascii="Times New Roman" w:hAnsi="Times New Roman" w:eastAsia="宋体" w:cs="Times New Roman"/>
                <w:snapToGrid w:val="0"/>
                <w:kern w:val="0"/>
                <w:sz w:val="24"/>
                <w:highlight w:val="none"/>
                <w:lang w:val="en-US" w:eastAsia="zh-CN"/>
              </w:rPr>
              <w:t>〕</w:t>
            </w:r>
            <w:r>
              <w:rPr>
                <w:rFonts w:hint="default" w:ascii="Times New Roman" w:hAnsi="Times New Roman" w:eastAsia="宋体" w:cs="Times New Roman"/>
                <w:snapToGrid w:val="0"/>
                <w:kern w:val="0"/>
                <w:sz w:val="24"/>
                <w:highlight w:val="none"/>
                <w:lang w:val="en-US" w:eastAsia="zh-CN"/>
              </w:rPr>
              <w:t>91号，以下简称《审批意见》）。</w:t>
            </w:r>
            <w:r>
              <w:rPr>
                <w:rFonts w:hint="default" w:ascii="Times New Roman" w:hAnsi="Times New Roman" w:eastAsia="宋体" w:cs="Times New Roman"/>
                <w:snapToGrid w:val="0"/>
                <w:kern w:val="0"/>
                <w:sz w:val="24"/>
                <w:lang w:val="en-US" w:eastAsia="zh-CN"/>
              </w:rPr>
              <w:t>该项目主体工程和配套的环保设施</w:t>
            </w:r>
            <w:r>
              <w:rPr>
                <w:rFonts w:hint="default" w:ascii="Times New Roman" w:hAnsi="Times New Roman" w:eastAsia="宋体" w:cs="Times New Roman"/>
                <w:snapToGrid w:val="0"/>
                <w:kern w:val="0"/>
                <w:sz w:val="24"/>
                <w:highlight w:val="none"/>
                <w:lang w:val="en-US" w:eastAsia="zh-CN"/>
              </w:rPr>
              <w:t>于2020年</w:t>
            </w:r>
            <w:r>
              <w:rPr>
                <w:rFonts w:hint="eastAsia" w:ascii="Times New Roman" w:hAnsi="Times New Roman" w:cs="Times New Roman"/>
                <w:snapToGrid w:val="0"/>
                <w:kern w:val="0"/>
                <w:sz w:val="24"/>
                <w:highlight w:val="none"/>
                <w:lang w:val="en-US" w:eastAsia="zh-CN"/>
              </w:rPr>
              <w:t>6</w:t>
            </w:r>
            <w:r>
              <w:rPr>
                <w:rFonts w:hint="default" w:ascii="Times New Roman" w:hAnsi="Times New Roman" w:eastAsia="宋体" w:cs="Times New Roman"/>
                <w:snapToGrid w:val="0"/>
                <w:kern w:val="0"/>
                <w:sz w:val="24"/>
                <w:highlight w:val="none"/>
                <w:lang w:val="en-US" w:eastAsia="zh-CN"/>
              </w:rPr>
              <w:t>月开始同步施工建设，202</w:t>
            </w:r>
            <w:r>
              <w:rPr>
                <w:rFonts w:hint="eastAsia" w:ascii="Times New Roman" w:hAnsi="Times New Roman" w:eastAsia="宋体" w:cs="Times New Roman"/>
                <w:snapToGrid w:val="0"/>
                <w:kern w:val="0"/>
                <w:sz w:val="24"/>
                <w:highlight w:val="none"/>
                <w:lang w:val="en-US" w:eastAsia="zh-CN"/>
              </w:rPr>
              <w:t>2</w:t>
            </w:r>
            <w:r>
              <w:rPr>
                <w:rFonts w:hint="default" w:ascii="Times New Roman" w:hAnsi="Times New Roman" w:eastAsia="宋体" w:cs="Times New Roman"/>
                <w:snapToGrid w:val="0"/>
                <w:kern w:val="0"/>
                <w:sz w:val="24"/>
                <w:highlight w:val="none"/>
                <w:lang w:val="en-US" w:eastAsia="zh-CN"/>
              </w:rPr>
              <w:t>年</w:t>
            </w:r>
            <w:r>
              <w:rPr>
                <w:rFonts w:hint="eastAsia" w:ascii="Times New Roman" w:hAnsi="Times New Roman" w:eastAsia="宋体" w:cs="Times New Roman"/>
                <w:snapToGrid w:val="0"/>
                <w:kern w:val="0"/>
                <w:sz w:val="24"/>
                <w:highlight w:val="none"/>
                <w:lang w:val="en-US" w:eastAsia="zh-CN"/>
              </w:rPr>
              <w:t>1</w:t>
            </w:r>
            <w:r>
              <w:rPr>
                <w:rFonts w:hint="default" w:ascii="Times New Roman" w:hAnsi="Times New Roman" w:eastAsia="宋体" w:cs="Times New Roman"/>
                <w:snapToGrid w:val="0"/>
                <w:kern w:val="0"/>
                <w:sz w:val="24"/>
                <w:highlight w:val="none"/>
                <w:lang w:val="en-US" w:eastAsia="zh-CN"/>
              </w:rPr>
              <w:t xml:space="preserve">月完成建设并投入使用。 </w:t>
            </w:r>
          </w:p>
          <w:p>
            <w:pPr>
              <w:spacing w:line="360" w:lineRule="auto"/>
              <w:ind w:firstLine="480"/>
              <w:rPr>
                <w:rFonts w:hint="default" w:ascii="Times New Roman" w:hAnsi="Times New Roman" w:eastAsia="宋体" w:cs="Times New Roman"/>
                <w:snapToGrid w:val="0"/>
                <w:kern w:val="0"/>
                <w:sz w:val="24"/>
              </w:rPr>
            </w:pPr>
            <w:r>
              <w:rPr>
                <w:rFonts w:hint="default" w:ascii="Times New Roman" w:hAnsi="Times New Roman" w:eastAsia="宋体" w:cs="Times New Roman"/>
                <w:snapToGrid w:val="0"/>
                <w:kern w:val="0"/>
                <w:sz w:val="24"/>
              </w:rPr>
              <w:t>地理位置：该项目</w:t>
            </w:r>
            <w:r>
              <w:rPr>
                <w:rFonts w:hint="default" w:ascii="Times New Roman" w:hAnsi="Times New Roman" w:eastAsia="宋体" w:cs="Times New Roman"/>
                <w:snapToGrid w:val="0"/>
                <w:kern w:val="0"/>
                <w:sz w:val="24"/>
                <w:lang w:eastAsia="zh-CN"/>
              </w:rPr>
              <w:t>位于</w:t>
            </w:r>
            <w:r>
              <w:rPr>
                <w:rFonts w:hint="default" w:ascii="Times New Roman" w:hAnsi="Times New Roman" w:cs="Times New Roman"/>
                <w:snapToGrid w:val="0"/>
                <w:kern w:val="0"/>
                <w:sz w:val="24"/>
                <w:lang w:val="en-US" w:eastAsia="zh-CN"/>
              </w:rPr>
              <w:t>张家港市金港镇港西村长阳路8号</w:t>
            </w:r>
            <w:r>
              <w:rPr>
                <w:rFonts w:hint="default" w:ascii="Times New Roman" w:hAnsi="Times New Roman" w:eastAsia="宋体" w:cs="Times New Roman"/>
                <w:snapToGrid w:val="0"/>
                <w:kern w:val="0"/>
                <w:sz w:val="24"/>
              </w:rPr>
              <w:t>，</w:t>
            </w:r>
            <w:r>
              <w:rPr>
                <w:rFonts w:hint="default" w:ascii="Times New Roman" w:hAnsi="Times New Roman" w:cs="Times New Roman"/>
                <w:snapToGrid w:val="0"/>
                <w:kern w:val="0"/>
                <w:sz w:val="24"/>
                <w:lang w:val="en-US" w:eastAsia="zh-CN"/>
              </w:rPr>
              <w:t>具体位置见附图1。</w:t>
            </w:r>
          </w:p>
          <w:p>
            <w:pPr>
              <w:spacing w:line="360" w:lineRule="auto"/>
              <w:ind w:firstLine="480" w:firstLineChars="200"/>
              <w:rPr>
                <w:rFonts w:hint="default" w:ascii="Times New Roman" w:hAnsi="Times New Roman" w:eastAsia="宋体" w:cs="Times New Roman"/>
                <w:b/>
                <w:bCs/>
                <w:snapToGrid w:val="0"/>
                <w:kern w:val="0"/>
                <w:sz w:val="24"/>
              </w:rPr>
            </w:pPr>
            <w:r>
              <w:rPr>
                <w:rFonts w:hint="default" w:ascii="Times New Roman" w:hAnsi="Times New Roman" w:eastAsia="宋体" w:cs="Times New Roman"/>
                <w:snapToGrid w:val="0"/>
                <w:kern w:val="0"/>
                <w:sz w:val="24"/>
              </w:rPr>
              <w:t>厂界周围土地利用现状</w:t>
            </w:r>
            <w:r>
              <w:rPr>
                <w:rFonts w:hint="default" w:ascii="Times New Roman" w:hAnsi="Times New Roman" w:eastAsia="宋体" w:cs="Times New Roman"/>
                <w:snapToGrid w:val="0"/>
                <w:color w:val="000000"/>
                <w:kern w:val="0"/>
                <w:sz w:val="24"/>
              </w:rPr>
              <w:t>：</w:t>
            </w:r>
            <w:r>
              <w:rPr>
                <w:rFonts w:hint="default" w:ascii="Times New Roman" w:hAnsi="Times New Roman" w:eastAsia="宋体" w:cs="Times New Roman"/>
                <w:smallCaps w:val="0"/>
                <w:snapToGrid w:val="0"/>
                <w:color w:val="000000"/>
                <w:kern w:val="0"/>
                <w:sz w:val="24"/>
                <w:lang w:eastAsia="zh-CN"/>
              </w:rPr>
              <w:t>本项目</w:t>
            </w:r>
            <w:r>
              <w:rPr>
                <w:rFonts w:hint="default" w:ascii="Times New Roman" w:hAnsi="Times New Roman" w:cs="Times New Roman"/>
                <w:smallCaps w:val="0"/>
                <w:snapToGrid w:val="0"/>
                <w:color w:val="000000"/>
                <w:kern w:val="0"/>
                <w:sz w:val="24"/>
                <w:lang w:val="en-US" w:eastAsia="zh-CN"/>
              </w:rPr>
              <w:t>东侧隔天永路为天海木业和佰得利木业，北侧为张家港沙龙高分子新材料有限公司，西侧为贝内克-长顺汽车内饰材料有限公司，南侧隔长阳路为张家港市三林机械管件有限公司</w:t>
            </w:r>
            <w:r>
              <w:rPr>
                <w:rFonts w:hint="default" w:ascii="Times New Roman" w:hAnsi="Times New Roman" w:cs="Times New Roman"/>
                <w:smallCaps w:val="0"/>
                <w:snapToGrid w:val="0"/>
                <w:color w:val="000000"/>
                <w:kern w:val="0"/>
                <w:sz w:val="24"/>
                <w:lang w:eastAsia="zh-CN"/>
              </w:rPr>
              <w:t>。项目周边环境</w:t>
            </w:r>
            <w:r>
              <w:rPr>
                <w:rFonts w:hint="default" w:ascii="Times New Roman" w:hAnsi="Times New Roman" w:cs="Times New Roman"/>
                <w:smallCaps w:val="0"/>
                <w:snapToGrid w:val="0"/>
                <w:color w:val="000000"/>
                <w:kern w:val="0"/>
                <w:sz w:val="24"/>
                <w:lang w:val="en-US" w:eastAsia="zh-CN"/>
              </w:rPr>
              <w:t>情况</w:t>
            </w:r>
            <w:r>
              <w:rPr>
                <w:rFonts w:hint="default" w:ascii="Times New Roman" w:hAnsi="Times New Roman" w:eastAsia="宋体" w:cs="Times New Roman"/>
                <w:snapToGrid w:val="0"/>
                <w:color w:val="000000"/>
                <w:kern w:val="0"/>
                <w:sz w:val="24"/>
              </w:rPr>
              <w:t>见附图</w:t>
            </w:r>
            <w:r>
              <w:rPr>
                <w:rFonts w:hint="default" w:ascii="Times New Roman" w:hAnsi="Times New Roman" w:eastAsia="宋体" w:cs="Times New Roman"/>
                <w:snapToGrid w:val="0"/>
                <w:color w:val="000000"/>
                <w:kern w:val="0"/>
                <w:sz w:val="24"/>
                <w:lang w:val="en-US" w:eastAsia="zh-CN"/>
              </w:rPr>
              <w:t>2</w:t>
            </w:r>
            <w:r>
              <w:rPr>
                <w:rFonts w:hint="default" w:ascii="Times New Roman" w:hAnsi="Times New Roman" w:eastAsia="宋体" w:cs="Times New Roman"/>
                <w:snapToGrid w:val="0"/>
                <w:color w:val="000000"/>
                <w:kern w:val="0"/>
                <w:sz w:val="24"/>
              </w:rPr>
              <w:t>。</w:t>
            </w:r>
          </w:p>
          <w:p>
            <w:pPr>
              <w:spacing w:line="360" w:lineRule="auto"/>
              <w:ind w:firstLine="480" w:firstLineChars="200"/>
              <w:rPr>
                <w:rFonts w:hint="default" w:ascii="Times New Roman" w:hAnsi="Times New Roman" w:eastAsia="宋体" w:cs="Times New Roman"/>
                <w:snapToGrid w:val="0"/>
                <w:kern w:val="0"/>
                <w:sz w:val="24"/>
              </w:rPr>
            </w:pPr>
            <w:r>
              <w:rPr>
                <w:rFonts w:hint="default" w:ascii="Times New Roman" w:hAnsi="Times New Roman" w:eastAsia="宋体" w:cs="Times New Roman"/>
                <w:snapToGrid w:val="0"/>
                <w:kern w:val="0"/>
                <w:sz w:val="24"/>
              </w:rPr>
              <w:t>厂区平面布置：</w:t>
            </w:r>
            <w:r>
              <w:rPr>
                <w:rFonts w:hint="default" w:ascii="Times New Roman" w:hAnsi="Times New Roman" w:eastAsia="宋体" w:cs="Times New Roman"/>
                <w:smallCaps w:val="0"/>
                <w:snapToGrid w:val="0"/>
                <w:kern w:val="0"/>
                <w:sz w:val="24"/>
              </w:rPr>
              <w:t>本项目</w:t>
            </w:r>
            <w:r>
              <w:rPr>
                <w:rFonts w:hint="default" w:ascii="Times New Roman" w:hAnsi="Times New Roman" w:cs="Times New Roman"/>
                <w:smallCaps w:val="0"/>
                <w:snapToGrid w:val="0"/>
                <w:kern w:val="0"/>
                <w:sz w:val="24"/>
                <w:lang w:val="en-US" w:eastAsia="zh-CN"/>
              </w:rPr>
              <w:t>生产厂房</w:t>
            </w:r>
            <w:r>
              <w:rPr>
                <w:rFonts w:hint="default" w:ascii="Times New Roman" w:hAnsi="Times New Roman" w:cs="Times New Roman"/>
                <w:snapToGrid w:val="0"/>
                <w:kern w:val="0"/>
                <w:sz w:val="24"/>
                <w:lang w:val="en-US" w:eastAsia="zh-CN"/>
              </w:rPr>
              <w:t>8000</w:t>
            </w:r>
            <w:r>
              <w:rPr>
                <w:rFonts w:hint="default" w:ascii="Times New Roman" w:hAnsi="Times New Roman" w:eastAsia="宋体" w:cs="Times New Roman"/>
                <w:snapToGrid w:val="0"/>
                <w:kern w:val="0"/>
                <w:sz w:val="24"/>
                <w:lang w:val="en-US" w:eastAsia="zh-CN"/>
              </w:rPr>
              <w:t>㎡，</w:t>
            </w:r>
            <w:r>
              <w:rPr>
                <w:rFonts w:hint="default" w:ascii="Times New Roman" w:hAnsi="Times New Roman" w:cs="Times New Roman"/>
                <w:snapToGrid w:val="0"/>
                <w:kern w:val="0"/>
                <w:sz w:val="24"/>
                <w:lang w:val="en-US" w:eastAsia="zh-CN"/>
              </w:rPr>
              <w:t>层高13米</w:t>
            </w:r>
            <w:r>
              <w:rPr>
                <w:rFonts w:hint="default" w:ascii="Times New Roman" w:hAnsi="Times New Roman" w:eastAsia="宋体" w:cs="Times New Roman"/>
                <w:smallCaps w:val="0"/>
                <w:snapToGrid w:val="0"/>
                <w:color w:val="000000"/>
                <w:kern w:val="0"/>
                <w:sz w:val="24"/>
              </w:rPr>
              <w:t>。</w:t>
            </w:r>
            <w:r>
              <w:rPr>
                <w:rFonts w:hint="default" w:ascii="Times New Roman" w:hAnsi="Times New Roman" w:eastAsia="宋体" w:cs="Times New Roman"/>
                <w:smallCaps w:val="0"/>
                <w:snapToGrid w:val="0"/>
                <w:kern w:val="0"/>
                <w:sz w:val="24"/>
              </w:rPr>
              <w:t>建设项目厂区平面布置具体见</w:t>
            </w:r>
            <w:r>
              <w:rPr>
                <w:rFonts w:hint="default" w:ascii="Times New Roman" w:hAnsi="Times New Roman" w:eastAsia="宋体" w:cs="Times New Roman"/>
                <w:smallCaps w:val="0"/>
                <w:snapToGrid w:val="0"/>
                <w:kern w:val="0"/>
                <w:sz w:val="24"/>
                <w:lang w:eastAsia="zh-CN"/>
              </w:rPr>
              <w:t>附图3</w:t>
            </w:r>
            <w:r>
              <w:rPr>
                <w:rFonts w:hint="default" w:ascii="Times New Roman" w:hAnsi="Times New Roman" w:eastAsia="宋体" w:cs="Times New Roman"/>
                <w:snapToGrid w:val="0"/>
                <w:kern w:val="0"/>
                <w:sz w:val="24"/>
              </w:rPr>
              <w:t>。</w:t>
            </w:r>
          </w:p>
          <w:p>
            <w:pPr>
              <w:pStyle w:val="2"/>
              <w:rPr>
                <w:rFonts w:hint="default" w:ascii="Times New Roman" w:hAnsi="Times New Roman" w:eastAsia="宋体" w:cs="Times New Roman"/>
                <w:snapToGrid w:val="0"/>
                <w:kern w:val="0"/>
                <w:sz w:val="24"/>
              </w:rPr>
            </w:pPr>
          </w:p>
          <w:p>
            <w:pPr>
              <w:pStyle w:val="2"/>
              <w:rPr>
                <w:rFonts w:hint="default" w:ascii="Times New Roman" w:hAnsi="Times New Roman" w:eastAsia="宋体" w:cs="Times New Roman"/>
                <w:snapToGrid w:val="0"/>
                <w:kern w:val="0"/>
                <w:sz w:val="24"/>
              </w:rPr>
            </w:pPr>
          </w:p>
          <w:p>
            <w:pPr>
              <w:pStyle w:val="2"/>
              <w:rPr>
                <w:rFonts w:hint="default" w:ascii="Times New Roman" w:hAnsi="Times New Roman" w:eastAsia="宋体" w:cs="Times New Roman"/>
                <w:snapToGrid w:val="0"/>
                <w:kern w:val="0"/>
                <w:sz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napToGrid w:val="0"/>
                <w:kern w:val="0"/>
                <w:sz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napToGrid w:val="0"/>
                <w:kern w:val="0"/>
                <w:sz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napToGrid w:val="0"/>
                <w:kern w:val="0"/>
                <w:sz w:val="24"/>
              </w:rPr>
            </w:pP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napToGrid w:val="0"/>
                <w:kern w:val="0"/>
                <w:sz w:val="24"/>
              </w:rPr>
            </w:pP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2、项目建设情况</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default" w:ascii="Times New Roman" w:hAnsi="Times New Roman"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建设情况表</w:t>
            </w:r>
          </w:p>
          <w:tbl>
            <w:tblPr>
              <w:tblStyle w:val="18"/>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4415"/>
              <w:gridCol w:w="1410"/>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类型</w:t>
                  </w:r>
                </w:p>
              </w:tc>
              <w:tc>
                <w:tcPr>
                  <w:tcW w:w="441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w:t>
                  </w:r>
                  <w:r>
                    <w:rPr>
                      <w:rFonts w:hint="default" w:ascii="Times New Roman" w:hAnsi="Times New Roman" w:eastAsia="宋体" w:cs="Times New Roman"/>
                      <w:b/>
                      <w:bCs/>
                      <w:sz w:val="21"/>
                      <w:szCs w:val="21"/>
                      <w:lang w:eastAsia="zh-CN"/>
                    </w:rPr>
                    <w:t>设计</w:t>
                  </w:r>
                  <w:r>
                    <w:rPr>
                      <w:rFonts w:hint="default" w:ascii="Times New Roman" w:hAnsi="Times New Roman" w:eastAsia="宋体" w:cs="Times New Roman"/>
                      <w:b/>
                      <w:bCs/>
                      <w:sz w:val="21"/>
                      <w:szCs w:val="21"/>
                    </w:rPr>
                    <w:t>/审批内容</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实际建设</w:t>
                  </w:r>
                </w:p>
              </w:tc>
              <w:tc>
                <w:tcPr>
                  <w:tcW w:w="136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建设地点</w:t>
                  </w:r>
                </w:p>
              </w:tc>
              <w:tc>
                <w:tcPr>
                  <w:tcW w:w="441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张家港市金港镇港西村长阳路</w:t>
                  </w:r>
                  <w:r>
                    <w:rPr>
                      <w:rFonts w:hint="eastAsia" w:ascii="Times New Roman" w:hAnsi="Times New Roman" w:cs="Times New Roman"/>
                      <w:sz w:val="21"/>
                      <w:szCs w:val="21"/>
                      <w:lang w:val="en-US" w:eastAsia="zh-CN"/>
                    </w:rPr>
                    <w:t>1</w:t>
                  </w:r>
                  <w:r>
                    <w:rPr>
                      <w:rFonts w:hint="default" w:ascii="Times New Roman" w:hAnsi="Times New Roman" w:cs="Times New Roman"/>
                      <w:sz w:val="21"/>
                      <w:szCs w:val="21"/>
                      <w:lang w:val="en-US" w:eastAsia="zh-CN"/>
                    </w:rPr>
                    <w:t>号</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张家港市金港镇港西村长阳路</w:t>
                  </w:r>
                  <w:r>
                    <w:rPr>
                      <w:rFonts w:hint="eastAsia" w:cs="Times New Roman"/>
                      <w:sz w:val="21"/>
                      <w:szCs w:val="21"/>
                      <w:lang w:val="en-US" w:eastAsia="zh-CN"/>
                    </w:rPr>
                    <w:t>8</w:t>
                  </w:r>
                  <w:r>
                    <w:rPr>
                      <w:rFonts w:hint="default" w:ascii="Times New Roman" w:hAnsi="Times New Roman" w:cs="Times New Roman"/>
                      <w:sz w:val="21"/>
                      <w:szCs w:val="21"/>
                      <w:lang w:val="en-US" w:eastAsia="zh-CN"/>
                    </w:rPr>
                    <w:t>号</w:t>
                  </w:r>
                </w:p>
              </w:tc>
              <w:tc>
                <w:tcPr>
                  <w:tcW w:w="136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企业实际地址未变，门牌号码进行了变更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建设规模</w:t>
                  </w:r>
                </w:p>
              </w:tc>
              <w:tc>
                <w:tcPr>
                  <w:tcW w:w="441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000000"/>
                      <w:sz w:val="21"/>
                      <w:szCs w:val="21"/>
                      <w:lang w:val="en-US" w:eastAsia="zh-CN"/>
                    </w:rPr>
                    <w:t>年产10万张海绵床垫</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同环评</w:t>
                  </w:r>
                </w:p>
              </w:tc>
              <w:tc>
                <w:tcPr>
                  <w:tcW w:w="136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总投资</w:t>
                  </w:r>
                </w:p>
              </w:tc>
              <w:tc>
                <w:tcPr>
                  <w:tcW w:w="441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总投资</w:t>
                  </w:r>
                  <w:r>
                    <w:rPr>
                      <w:rFonts w:hint="default" w:ascii="Times New Roman" w:hAnsi="Times New Roman" w:cs="Times New Roman"/>
                      <w:sz w:val="21"/>
                      <w:szCs w:val="21"/>
                      <w:lang w:val="en-US" w:eastAsia="zh-CN"/>
                    </w:rPr>
                    <w:t>1000</w:t>
                  </w:r>
                  <w:r>
                    <w:rPr>
                      <w:rFonts w:hint="default" w:ascii="Times New Roman" w:hAnsi="Times New Roman" w:eastAsia="宋体" w:cs="Times New Roman"/>
                      <w:sz w:val="21"/>
                      <w:szCs w:val="21"/>
                      <w:lang w:eastAsia="zh-CN"/>
                    </w:rPr>
                    <w:t>万元，其中环保投资</w:t>
                  </w:r>
                  <w:r>
                    <w:rPr>
                      <w:rFonts w:hint="default" w:ascii="Times New Roman" w:hAnsi="Times New Roman" w:cs="Times New Roman"/>
                      <w:sz w:val="21"/>
                      <w:szCs w:val="21"/>
                      <w:lang w:val="en-US" w:eastAsia="zh-CN"/>
                    </w:rPr>
                    <w:t>20</w:t>
                  </w:r>
                  <w:r>
                    <w:rPr>
                      <w:rFonts w:hint="default" w:ascii="Times New Roman" w:hAnsi="Times New Roman" w:eastAsia="宋体" w:cs="Times New Roman"/>
                      <w:sz w:val="21"/>
                      <w:szCs w:val="21"/>
                      <w:lang w:eastAsia="zh-CN"/>
                    </w:rPr>
                    <w:t>万元</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同环评</w:t>
                  </w:r>
                </w:p>
              </w:tc>
              <w:tc>
                <w:tcPr>
                  <w:tcW w:w="136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占地面积</w:t>
                  </w:r>
                </w:p>
              </w:tc>
              <w:tc>
                <w:tcPr>
                  <w:tcW w:w="441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本项目</w:t>
                  </w:r>
                  <w:r>
                    <w:rPr>
                      <w:rFonts w:hint="default" w:ascii="Times New Roman" w:hAnsi="Times New Roman" w:eastAsia="宋体" w:cs="Times New Roman"/>
                      <w:sz w:val="21"/>
                      <w:szCs w:val="21"/>
                      <w:lang w:val="en-US" w:eastAsia="zh-CN"/>
                    </w:rPr>
                    <w:t>占地面积</w:t>
                  </w:r>
                  <w:r>
                    <w:rPr>
                      <w:rFonts w:hint="default" w:ascii="Times New Roman" w:hAnsi="Times New Roman" w:cs="Times New Roman"/>
                      <w:sz w:val="21"/>
                      <w:szCs w:val="21"/>
                      <w:lang w:val="en-US" w:eastAsia="zh-CN"/>
                    </w:rPr>
                    <w:t>8000</w:t>
                  </w:r>
                  <w:r>
                    <w:rPr>
                      <w:rFonts w:hint="default" w:ascii="Times New Roman" w:hAnsi="Times New Roman" w:eastAsia="宋体" w:cs="Times New Roman"/>
                      <w:sz w:val="21"/>
                      <w:szCs w:val="21"/>
                      <w:lang w:val="en-US" w:eastAsia="zh-CN"/>
                    </w:rPr>
                    <w:t>㎡</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同环评</w:t>
                  </w:r>
                </w:p>
              </w:tc>
              <w:tc>
                <w:tcPr>
                  <w:tcW w:w="136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定员与生产制度</w:t>
                  </w:r>
                </w:p>
              </w:tc>
              <w:tc>
                <w:tcPr>
                  <w:tcW w:w="441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工作制度：本项目实行</w:t>
                  </w:r>
                  <w:r>
                    <w:rPr>
                      <w:rFonts w:hint="default" w:ascii="Times New Roman" w:hAnsi="Times New Roman" w:cs="Times New Roman"/>
                      <w:sz w:val="21"/>
                      <w:szCs w:val="21"/>
                      <w:lang w:val="en-US" w:eastAsia="zh-CN"/>
                    </w:rPr>
                    <w:t>常日班</w:t>
                  </w:r>
                  <w:r>
                    <w:rPr>
                      <w:rFonts w:hint="default" w:ascii="Times New Roman" w:hAnsi="Times New Roman" w:eastAsia="宋体" w:cs="Times New Roman"/>
                      <w:sz w:val="21"/>
                      <w:szCs w:val="21"/>
                      <w:lang w:eastAsia="zh-CN"/>
                    </w:rPr>
                    <w:t>工作制</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上午8:00-下午5:00</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，年有效工作日为</w:t>
                  </w:r>
                  <w:r>
                    <w:rPr>
                      <w:rFonts w:hint="default" w:ascii="Times New Roman" w:hAnsi="Times New Roman" w:cs="Times New Roman"/>
                      <w:sz w:val="21"/>
                      <w:szCs w:val="21"/>
                      <w:lang w:val="en-US" w:eastAsia="zh-CN"/>
                    </w:rPr>
                    <w:t>300</w:t>
                  </w:r>
                  <w:r>
                    <w:rPr>
                      <w:rFonts w:hint="default" w:ascii="Times New Roman" w:hAnsi="Times New Roman" w:eastAsia="宋体" w:cs="Times New Roman"/>
                      <w:sz w:val="21"/>
                      <w:szCs w:val="21"/>
                      <w:lang w:eastAsia="zh-CN"/>
                    </w:rPr>
                    <w:t>天，年生产时间为</w:t>
                  </w:r>
                  <w:r>
                    <w:rPr>
                      <w:rFonts w:hint="default" w:ascii="Times New Roman" w:hAnsi="Times New Roman" w:cs="Times New Roman"/>
                      <w:sz w:val="21"/>
                      <w:szCs w:val="21"/>
                      <w:lang w:val="en-US" w:eastAsia="zh-CN"/>
                    </w:rPr>
                    <w:t>24</w:t>
                  </w:r>
                  <w:r>
                    <w:rPr>
                      <w:rFonts w:hint="default" w:ascii="Times New Roman" w:hAnsi="Times New Roman" w:eastAsia="宋体" w:cs="Times New Roman"/>
                      <w:sz w:val="21"/>
                      <w:szCs w:val="21"/>
                      <w:lang w:val="en-US" w:eastAsia="zh-CN"/>
                    </w:rPr>
                    <w:t>00</w:t>
                  </w:r>
                  <w:r>
                    <w:rPr>
                      <w:rFonts w:hint="default" w:ascii="Times New Roman" w:hAnsi="Times New Roman" w:eastAsia="宋体" w:cs="Times New Roman"/>
                      <w:sz w:val="21"/>
                      <w:szCs w:val="21"/>
                      <w:lang w:eastAsia="zh-CN"/>
                    </w:rPr>
                    <w:t>小时。劳动定员：</w:t>
                  </w:r>
                  <w:r>
                    <w:rPr>
                      <w:rFonts w:hint="eastAsia" w:ascii="Times New Roman" w:hAnsi="Times New Roman" w:cs="Times New Roman"/>
                      <w:sz w:val="21"/>
                      <w:szCs w:val="21"/>
                      <w:lang w:val="en-US" w:eastAsia="zh-CN"/>
                    </w:rPr>
                    <w:t>20</w:t>
                  </w:r>
                  <w:r>
                    <w:rPr>
                      <w:rFonts w:hint="default" w:ascii="Times New Roman" w:hAnsi="Times New Roman" w:cs="Times New Roman"/>
                      <w:sz w:val="21"/>
                      <w:szCs w:val="21"/>
                      <w:lang w:val="en-US" w:eastAsia="zh-CN"/>
                    </w:rPr>
                    <w:t>人</w:t>
                  </w:r>
                  <w:r>
                    <w:rPr>
                      <w:rFonts w:hint="default" w:ascii="Times New Roman" w:hAnsi="Times New Roman" w:cs="Times New Roman"/>
                      <w:sz w:val="21"/>
                      <w:szCs w:val="21"/>
                      <w:lang w:eastAsia="zh-CN"/>
                    </w:rPr>
                    <w:t>。</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同环评</w:t>
                  </w:r>
                </w:p>
              </w:tc>
              <w:tc>
                <w:tcPr>
                  <w:tcW w:w="136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无变化</w:t>
                  </w:r>
                </w:p>
              </w:tc>
            </w:tr>
          </w:tbl>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表2-</w:t>
            </w:r>
            <w:r>
              <w:rPr>
                <w:rFonts w:hint="default" w:ascii="Times New Roman" w:hAnsi="Times New Roman" w:cs="Times New Roman"/>
                <w:b/>
                <w:bCs/>
                <w:sz w:val="24"/>
                <w:szCs w:val="24"/>
                <w:lang w:val="en-US" w:eastAsia="zh-CN"/>
              </w:rPr>
              <w:t>2</w:t>
            </w:r>
            <w:r>
              <w:rPr>
                <w:rFonts w:hint="default" w:ascii="Times New Roman" w:hAnsi="Times New Roman" w:eastAsia="宋体" w:cs="Times New Roman"/>
                <w:b/>
                <w:bCs/>
                <w:sz w:val="24"/>
                <w:szCs w:val="24"/>
                <w:lang w:val="en-US" w:eastAsia="zh-CN"/>
              </w:rPr>
              <w:t xml:space="preserve">  公用和辅助工程</w:t>
            </w:r>
          </w:p>
          <w:tbl>
            <w:tblPr>
              <w:tblStyle w:val="18"/>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726"/>
              <w:gridCol w:w="726"/>
              <w:gridCol w:w="2021"/>
              <w:gridCol w:w="2045"/>
              <w:gridCol w:w="1159"/>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559"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b/>
                      <w:bCs/>
                      <w:snapToGrid w:val="0"/>
                      <w:color w:val="000000"/>
                      <w:kern w:val="0"/>
                      <w:sz w:val="21"/>
                      <w:szCs w:val="21"/>
                      <w:lang w:val="en-US"/>
                    </w:rPr>
                  </w:pPr>
                  <w:r>
                    <w:rPr>
                      <w:rFonts w:hint="default" w:ascii="Times New Roman" w:hAnsi="Times New Roman" w:eastAsia="宋体" w:cs="Times New Roman"/>
                      <w:b/>
                      <w:bCs/>
                      <w:snapToGrid w:val="0"/>
                      <w:color w:val="000000"/>
                      <w:kern w:val="0"/>
                      <w:sz w:val="21"/>
                      <w:szCs w:val="21"/>
                      <w:lang w:val="en-US" w:eastAsia="zh-CN" w:bidi="ar"/>
                    </w:rPr>
                    <w:t>类别</w:t>
                  </w:r>
                </w:p>
              </w:tc>
              <w:tc>
                <w:tcPr>
                  <w:tcW w:w="1452" w:type="dxa"/>
                  <w:gridSpan w:val="2"/>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b/>
                      <w:bCs/>
                      <w:snapToGrid w:val="0"/>
                      <w:color w:val="000000"/>
                      <w:kern w:val="0"/>
                      <w:sz w:val="21"/>
                      <w:szCs w:val="21"/>
                      <w:lang w:val="en-US"/>
                    </w:rPr>
                  </w:pPr>
                  <w:r>
                    <w:rPr>
                      <w:rFonts w:hint="default" w:ascii="Times New Roman" w:hAnsi="Times New Roman" w:eastAsia="宋体" w:cs="Times New Roman"/>
                      <w:b/>
                      <w:bCs/>
                      <w:snapToGrid w:val="0"/>
                      <w:color w:val="000000"/>
                      <w:kern w:val="0"/>
                      <w:sz w:val="21"/>
                      <w:szCs w:val="21"/>
                      <w:lang w:val="en-US" w:eastAsia="zh-CN" w:bidi="ar"/>
                    </w:rPr>
                    <w:t>建设名称</w:t>
                  </w:r>
                </w:p>
              </w:tc>
              <w:tc>
                <w:tcPr>
                  <w:tcW w:w="2021"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b/>
                      <w:bCs/>
                      <w:snapToGrid w:val="0"/>
                      <w:color w:val="000000"/>
                      <w:kern w:val="0"/>
                      <w:sz w:val="21"/>
                      <w:szCs w:val="21"/>
                      <w:lang w:val="en-US" w:eastAsia="zh-CN" w:bidi="ar"/>
                    </w:rPr>
                  </w:pPr>
                  <w:r>
                    <w:rPr>
                      <w:rFonts w:hint="default" w:ascii="Times New Roman" w:hAnsi="Times New Roman" w:eastAsia="宋体" w:cs="Times New Roman"/>
                      <w:b/>
                      <w:bCs/>
                      <w:snapToGrid w:val="0"/>
                      <w:color w:val="000000"/>
                      <w:kern w:val="0"/>
                      <w:sz w:val="21"/>
                      <w:szCs w:val="21"/>
                      <w:lang w:val="en-US" w:eastAsia="zh-CN" w:bidi="ar"/>
                    </w:rPr>
                    <w:t>设计能力</w:t>
                  </w:r>
                </w:p>
              </w:tc>
              <w:tc>
                <w:tcPr>
                  <w:tcW w:w="2045"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b/>
                      <w:bCs/>
                      <w:snapToGrid w:val="0"/>
                      <w:color w:val="000000"/>
                      <w:kern w:val="0"/>
                      <w:sz w:val="21"/>
                      <w:szCs w:val="21"/>
                      <w:lang w:val="en-US"/>
                    </w:rPr>
                  </w:pPr>
                  <w:r>
                    <w:rPr>
                      <w:rFonts w:hint="default" w:ascii="Times New Roman" w:hAnsi="Times New Roman" w:eastAsia="宋体" w:cs="Times New Roman"/>
                      <w:b/>
                      <w:bCs/>
                      <w:snapToGrid w:val="0"/>
                      <w:color w:val="000000"/>
                      <w:kern w:val="0"/>
                      <w:sz w:val="21"/>
                      <w:szCs w:val="21"/>
                      <w:lang w:val="en-US" w:eastAsia="zh-CN" w:bidi="ar"/>
                    </w:rPr>
                    <w:t>备</w:t>
                  </w:r>
                  <w:r>
                    <w:rPr>
                      <w:rFonts w:hint="default" w:ascii="Times New Roman" w:hAnsi="Times New Roman" w:eastAsia="宋体" w:cs="Times New Roman"/>
                      <w:b/>
                      <w:bCs/>
                      <w:color w:val="000000"/>
                      <w:kern w:val="0"/>
                      <w:sz w:val="21"/>
                      <w:szCs w:val="21"/>
                      <w:lang w:val="en-US" w:eastAsia="zh-CN" w:bidi="ar"/>
                    </w:rPr>
                    <w:t xml:space="preserve">  </w:t>
                  </w:r>
                  <w:r>
                    <w:rPr>
                      <w:rFonts w:hint="default" w:ascii="Times New Roman" w:hAnsi="Times New Roman" w:eastAsia="宋体" w:cs="Times New Roman"/>
                      <w:b/>
                      <w:bCs/>
                      <w:snapToGrid w:val="0"/>
                      <w:color w:val="000000"/>
                      <w:kern w:val="0"/>
                      <w:sz w:val="21"/>
                      <w:szCs w:val="21"/>
                      <w:lang w:val="en-US" w:eastAsia="zh-CN" w:bidi="ar"/>
                    </w:rPr>
                    <w:t>注</w:t>
                  </w:r>
                </w:p>
              </w:tc>
              <w:tc>
                <w:tcPr>
                  <w:tcW w:w="1159" w:type="dxa"/>
                  <w:tcBorders>
                    <w:tl2br w:val="nil"/>
                    <w:tr2bl w:val="nil"/>
                  </w:tcBorders>
                  <w:noWrap w:val="0"/>
                  <w:vAlign w:val="center"/>
                </w:tcPr>
                <w:p>
                  <w:pPr>
                    <w:adjustRightInd w:val="0"/>
                    <w:snapToGrid w:val="0"/>
                    <w:jc w:val="center"/>
                    <w:rPr>
                      <w:rFonts w:hint="default" w:ascii="Times New Roman" w:hAnsi="Times New Roman" w:eastAsia="宋体" w:cs="Times New Roman"/>
                      <w:b/>
                      <w:bCs/>
                      <w:snapToGrid w:val="0"/>
                      <w:color w:val="000000"/>
                      <w:kern w:val="0"/>
                      <w:sz w:val="21"/>
                      <w:szCs w:val="21"/>
                      <w:lang w:val="en-US" w:eastAsia="zh-CN" w:bidi="ar"/>
                    </w:rPr>
                  </w:pPr>
                  <w:r>
                    <w:rPr>
                      <w:rFonts w:hint="default" w:ascii="Times New Roman" w:hAnsi="Times New Roman" w:eastAsia="宋体" w:cs="Times New Roman"/>
                      <w:b/>
                      <w:bCs/>
                      <w:snapToGrid w:val="0"/>
                      <w:kern w:val="0"/>
                      <w:sz w:val="21"/>
                      <w:szCs w:val="21"/>
                      <w:lang w:val="en-US" w:eastAsia="zh-CN"/>
                    </w:rPr>
                    <w:t>实际建设</w:t>
                  </w:r>
                </w:p>
              </w:tc>
              <w:tc>
                <w:tcPr>
                  <w:tcW w:w="1159" w:type="dxa"/>
                  <w:tcBorders>
                    <w:tl2br w:val="nil"/>
                    <w:tr2bl w:val="nil"/>
                  </w:tcBorders>
                  <w:noWrap w:val="0"/>
                  <w:vAlign w:val="center"/>
                </w:tcPr>
                <w:p>
                  <w:pPr>
                    <w:adjustRightInd w:val="0"/>
                    <w:snapToGrid w:val="0"/>
                    <w:jc w:val="center"/>
                    <w:rPr>
                      <w:rFonts w:hint="default" w:ascii="Times New Roman" w:hAnsi="Times New Roman" w:eastAsia="宋体" w:cs="Times New Roman"/>
                      <w:b/>
                      <w:bCs/>
                      <w:snapToGrid w:val="0"/>
                      <w:kern w:val="0"/>
                      <w:sz w:val="21"/>
                      <w:szCs w:val="21"/>
                      <w:lang w:val="en-US" w:eastAsia="zh-CN"/>
                    </w:rPr>
                  </w:pPr>
                  <w:r>
                    <w:rPr>
                      <w:rFonts w:hint="default" w:ascii="Times New Roman" w:hAnsi="Times New Roman" w:cs="Times New Roman"/>
                      <w:b/>
                      <w:bCs/>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napToGrid w:val="0"/>
                      <w:color w:val="000000"/>
                      <w:kern w:val="0"/>
                      <w:sz w:val="21"/>
                      <w:szCs w:val="21"/>
                      <w:lang w:val="en-US"/>
                    </w:rPr>
                  </w:pPr>
                  <w:r>
                    <w:rPr>
                      <w:rFonts w:hint="default" w:ascii="Times New Roman" w:hAnsi="Times New Roman" w:eastAsia="宋体" w:cs="Times New Roman"/>
                      <w:snapToGrid w:val="0"/>
                      <w:color w:val="000000"/>
                      <w:kern w:val="0"/>
                      <w:sz w:val="21"/>
                      <w:szCs w:val="21"/>
                      <w:lang w:val="en-US" w:eastAsia="zh-CN" w:bidi="ar"/>
                    </w:rPr>
                    <w:t>主体工程</w:t>
                  </w:r>
                </w:p>
              </w:tc>
              <w:tc>
                <w:tcPr>
                  <w:tcW w:w="1452"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kern w:val="0"/>
                      <w:sz w:val="21"/>
                      <w:szCs w:val="24"/>
                      <w:lang w:val="en-US" w:eastAsia="zh-CN" w:bidi="ar-SA"/>
                    </w:rPr>
                  </w:pPr>
                  <w:r>
                    <w:rPr>
                      <w:rFonts w:hint="default" w:ascii="Times New Roman" w:hAnsi="Times New Roman" w:cs="Times New Roman"/>
                      <w:color w:val="000000"/>
                      <w:szCs w:val="21"/>
                    </w:rPr>
                    <w:t>生产厂房</w:t>
                  </w:r>
                </w:p>
              </w:tc>
              <w:tc>
                <w:tcPr>
                  <w:tcW w:w="2021" w:type="dxa"/>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4"/>
                      <w:lang w:val="en-US" w:eastAsia="zh-CN" w:bidi="ar-SA"/>
                    </w:rPr>
                  </w:pPr>
                  <w:r>
                    <w:rPr>
                      <w:rFonts w:hint="default" w:ascii="Times New Roman" w:hAnsi="Times New Roman" w:cs="Times New Roman"/>
                      <w:color w:val="000000"/>
                      <w:szCs w:val="21"/>
                    </w:rPr>
                    <w:t>占地约</w:t>
                  </w:r>
                  <w:r>
                    <w:rPr>
                      <w:rFonts w:hint="default" w:ascii="Times New Roman" w:hAnsi="Times New Roman" w:cs="Times New Roman"/>
                      <w:color w:val="000000"/>
                      <w:szCs w:val="21"/>
                      <w:lang w:eastAsia="zh-CN"/>
                    </w:rPr>
                    <w:t>8000</w:t>
                  </w:r>
                  <w:r>
                    <w:rPr>
                      <w:rFonts w:hint="default" w:ascii="Times New Roman" w:hAnsi="Times New Roman" w:cs="Times New Roman"/>
                      <w:color w:val="000000"/>
                      <w:szCs w:val="21"/>
                    </w:rPr>
                    <w:t>平方米，层高13米</w:t>
                  </w:r>
                </w:p>
              </w:tc>
              <w:tc>
                <w:tcPr>
                  <w:tcW w:w="2045" w:type="dxa"/>
                  <w:tcBorders>
                    <w:tl2br w:val="nil"/>
                    <w:tr2bl w:val="nil"/>
                  </w:tcBorders>
                  <w:noWrap w:val="0"/>
                  <w:vAlign w:val="center"/>
                </w:tcPr>
                <w:p>
                  <w:pPr>
                    <w:pStyle w:val="16"/>
                    <w:spacing w:line="240" w:lineRule="auto"/>
                    <w:ind w:left="420" w:leftChars="0" w:hanging="420" w:firstLineChars="0"/>
                    <w:jc w:val="center"/>
                    <w:rPr>
                      <w:rFonts w:hint="default" w:ascii="Times New Roman" w:hAnsi="Times New Roman" w:eastAsia="宋体" w:cs="Times New Roman"/>
                      <w:snapToGrid w:val="0"/>
                      <w:color w:val="000000"/>
                      <w:kern w:val="0"/>
                      <w:sz w:val="21"/>
                      <w:szCs w:val="24"/>
                      <w:lang w:val="en-US" w:eastAsia="zh-CN" w:bidi="ar-SA"/>
                    </w:rPr>
                  </w:pPr>
                  <w:r>
                    <w:rPr>
                      <w:rFonts w:hint="default" w:ascii="Times New Roman" w:hAnsi="Times New Roman" w:eastAsia="宋体" w:cs="Times New Roman"/>
                      <w:color w:val="000000"/>
                      <w:szCs w:val="21"/>
                    </w:rPr>
                    <w:t>租赁现有</w:t>
                  </w:r>
                </w:p>
              </w:tc>
              <w:tc>
                <w:tcPr>
                  <w:tcW w:w="1159" w:type="dxa"/>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kern w:val="0"/>
                    </w:rPr>
                  </w:pPr>
                  <w:r>
                    <w:rPr>
                      <w:rFonts w:hint="default" w:ascii="Times New Roman" w:hAnsi="Times New Roman" w:cs="Times New Roman"/>
                      <w:color w:val="000000"/>
                      <w:szCs w:val="21"/>
                    </w:rPr>
                    <w:t>占地约</w:t>
                  </w:r>
                  <w:r>
                    <w:rPr>
                      <w:rFonts w:hint="default" w:ascii="Times New Roman" w:hAnsi="Times New Roman" w:cs="Times New Roman"/>
                      <w:color w:val="000000"/>
                      <w:szCs w:val="21"/>
                      <w:lang w:eastAsia="zh-CN"/>
                    </w:rPr>
                    <w:t>8000</w:t>
                  </w:r>
                  <w:r>
                    <w:rPr>
                      <w:rFonts w:hint="default" w:ascii="Times New Roman" w:hAnsi="Times New Roman" w:cs="Times New Roman"/>
                      <w:color w:val="000000"/>
                      <w:szCs w:val="21"/>
                    </w:rPr>
                    <w:t>平方米，层高13米</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restart"/>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napToGrid w:val="0"/>
                      <w:color w:val="000000"/>
                      <w:kern w:val="0"/>
                      <w:sz w:val="21"/>
                      <w:szCs w:val="21"/>
                      <w:lang w:val="en-US" w:eastAsia="zh-CN" w:bidi="ar"/>
                    </w:rPr>
                  </w:pPr>
                  <w:r>
                    <w:rPr>
                      <w:rFonts w:hint="default" w:ascii="Times New Roman" w:hAnsi="Times New Roman" w:cs="Times New Roman"/>
                      <w:color w:val="000000"/>
                      <w:szCs w:val="21"/>
                    </w:rPr>
                    <w:t>公用及辅助工程</w:t>
                  </w:r>
                </w:p>
              </w:tc>
              <w:tc>
                <w:tcPr>
                  <w:tcW w:w="726" w:type="dxa"/>
                  <w:tcBorders>
                    <w:tl2br w:val="nil"/>
                    <w:tr2bl w:val="nil"/>
                  </w:tcBorders>
                  <w:noWrap w:val="0"/>
                  <w:vAlign w:val="center"/>
                </w:tcPr>
                <w:p>
                  <w:pPr>
                    <w:jc w:val="center"/>
                    <w:rPr>
                      <w:rFonts w:hint="default" w:ascii="Times New Roman" w:hAnsi="Times New Roman" w:eastAsia="宋体" w:cs="Times New Roman"/>
                      <w:snapToGrid w:val="0"/>
                      <w:color w:val="000000"/>
                      <w:kern w:val="0"/>
                      <w:lang w:val="en-US" w:eastAsia="zh-CN"/>
                    </w:rPr>
                  </w:pPr>
                  <w:r>
                    <w:rPr>
                      <w:rFonts w:hint="default" w:ascii="Times New Roman" w:hAnsi="Times New Roman" w:cs="Times New Roman"/>
                      <w:color w:val="000000"/>
                      <w:szCs w:val="21"/>
                    </w:rPr>
                    <w:t>供水</w:t>
                  </w:r>
                </w:p>
              </w:tc>
              <w:tc>
                <w:tcPr>
                  <w:tcW w:w="726" w:type="dxa"/>
                  <w:tcBorders>
                    <w:tl2br w:val="nil"/>
                    <w:tr2bl w:val="nil"/>
                  </w:tcBorders>
                  <w:noWrap w:val="0"/>
                  <w:vAlign w:val="center"/>
                </w:tcPr>
                <w:p>
                  <w:pPr>
                    <w:jc w:val="center"/>
                    <w:rPr>
                      <w:rFonts w:hint="default" w:ascii="Times New Roman" w:hAnsi="Times New Roman" w:eastAsia="宋体" w:cs="Times New Roman"/>
                      <w:snapToGrid w:val="0"/>
                      <w:color w:val="000000"/>
                      <w:kern w:val="0"/>
                      <w:lang w:val="en-US" w:eastAsia="zh-CN"/>
                    </w:rPr>
                  </w:pPr>
                  <w:r>
                    <w:rPr>
                      <w:rFonts w:hint="default" w:ascii="Times New Roman" w:hAnsi="Times New Roman" w:cs="Times New Roman"/>
                      <w:color w:val="000000"/>
                      <w:szCs w:val="21"/>
                    </w:rPr>
                    <w:t>生活用水</w:t>
                  </w:r>
                </w:p>
              </w:tc>
              <w:tc>
                <w:tcPr>
                  <w:tcW w:w="2021" w:type="dxa"/>
                  <w:tcBorders>
                    <w:tl2br w:val="nil"/>
                    <w:tr2bl w:val="nil"/>
                  </w:tcBorders>
                  <w:noWrap w:val="0"/>
                  <w:vAlign w:val="center"/>
                </w:tcPr>
                <w:p>
                  <w:pPr>
                    <w:jc w:val="center"/>
                    <w:rPr>
                      <w:rFonts w:hint="default" w:ascii="Times New Roman" w:hAnsi="Times New Roman" w:eastAsia="宋体" w:cs="Times New Roman"/>
                      <w:snapToGrid w:val="0"/>
                      <w:color w:val="000000"/>
                      <w:kern w:val="0"/>
                      <w:lang w:val="en-US" w:eastAsia="zh-CN"/>
                    </w:rPr>
                  </w:pPr>
                  <w:r>
                    <w:rPr>
                      <w:rFonts w:hint="default" w:ascii="Times New Roman" w:hAnsi="Times New Roman" w:cs="Times New Roman"/>
                      <w:color w:val="000000"/>
                      <w:szCs w:val="21"/>
                    </w:rPr>
                    <w:t>600吨/年</w:t>
                  </w:r>
                </w:p>
              </w:tc>
              <w:tc>
                <w:tcPr>
                  <w:tcW w:w="2045" w:type="dxa"/>
                  <w:tcBorders>
                    <w:tl2br w:val="nil"/>
                    <w:tr2bl w:val="nil"/>
                  </w:tcBorders>
                  <w:noWrap w:val="0"/>
                  <w:vAlign w:val="center"/>
                </w:tcPr>
                <w:p>
                  <w:pPr>
                    <w:pStyle w:val="16"/>
                    <w:spacing w:line="240" w:lineRule="auto"/>
                    <w:ind w:left="420" w:leftChars="0" w:hanging="42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Cs w:val="21"/>
                    </w:rPr>
                    <w:t>市政用水管网</w:t>
                  </w:r>
                </w:p>
              </w:tc>
              <w:tc>
                <w:tcPr>
                  <w:tcW w:w="1159" w:type="dxa"/>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4"/>
                      <w:lang w:val="en-US" w:eastAsia="zh-CN" w:bidi="ar-SA"/>
                    </w:rPr>
                  </w:pPr>
                  <w:r>
                    <w:rPr>
                      <w:rFonts w:hint="default" w:ascii="Times New Roman" w:hAnsi="Times New Roman" w:cs="Times New Roman"/>
                      <w:color w:val="000000"/>
                      <w:szCs w:val="21"/>
                    </w:rPr>
                    <w:t>600吨/年</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napToGrid w:val="0"/>
                      <w:color w:val="000000"/>
                      <w:kern w:val="0"/>
                      <w:sz w:val="21"/>
                      <w:szCs w:val="21"/>
                      <w:lang w:val="en-US" w:eastAsia="zh-CN" w:bidi="ar"/>
                    </w:rPr>
                  </w:pPr>
                </w:p>
              </w:tc>
              <w:tc>
                <w:tcPr>
                  <w:tcW w:w="726" w:type="dxa"/>
                  <w:tcBorders>
                    <w:tl2br w:val="nil"/>
                    <w:tr2bl w:val="nil"/>
                  </w:tcBorders>
                  <w:noWrap w:val="0"/>
                  <w:vAlign w:val="center"/>
                </w:tcPr>
                <w:p>
                  <w:pPr>
                    <w:jc w:val="center"/>
                    <w:rPr>
                      <w:rFonts w:hint="default" w:ascii="Times New Roman" w:hAnsi="Times New Roman" w:cs="Times New Roman"/>
                      <w:snapToGrid w:val="0"/>
                      <w:color w:val="000000"/>
                      <w:kern w:val="0"/>
                      <w:lang w:val="en-US" w:eastAsia="zh-CN"/>
                    </w:rPr>
                  </w:pPr>
                  <w:r>
                    <w:rPr>
                      <w:rFonts w:hint="default" w:ascii="Times New Roman" w:hAnsi="Times New Roman" w:cs="Times New Roman"/>
                      <w:color w:val="000000"/>
                      <w:szCs w:val="21"/>
                    </w:rPr>
                    <w:t>排水</w:t>
                  </w:r>
                </w:p>
              </w:tc>
              <w:tc>
                <w:tcPr>
                  <w:tcW w:w="726" w:type="dxa"/>
                  <w:tcBorders>
                    <w:tl2br w:val="nil"/>
                    <w:tr2bl w:val="nil"/>
                  </w:tcBorders>
                  <w:noWrap w:val="0"/>
                  <w:vAlign w:val="center"/>
                </w:tcPr>
                <w:p>
                  <w:pPr>
                    <w:jc w:val="center"/>
                    <w:rPr>
                      <w:rFonts w:hint="default" w:ascii="Times New Roman" w:hAnsi="Times New Roman" w:cs="Times New Roman"/>
                      <w:snapToGrid w:val="0"/>
                      <w:color w:val="000000"/>
                      <w:kern w:val="0"/>
                      <w:lang w:val="en-US" w:eastAsia="zh-CN"/>
                    </w:rPr>
                  </w:pPr>
                  <w:r>
                    <w:rPr>
                      <w:rFonts w:hint="default" w:ascii="Times New Roman" w:hAnsi="Times New Roman" w:cs="Times New Roman"/>
                      <w:color w:val="000000"/>
                      <w:szCs w:val="21"/>
                    </w:rPr>
                    <w:t>生活污水</w:t>
                  </w:r>
                </w:p>
              </w:tc>
              <w:tc>
                <w:tcPr>
                  <w:tcW w:w="2021" w:type="dxa"/>
                  <w:tcBorders>
                    <w:tl2br w:val="nil"/>
                    <w:tr2bl w:val="nil"/>
                  </w:tcBorders>
                  <w:noWrap w:val="0"/>
                  <w:vAlign w:val="center"/>
                </w:tcPr>
                <w:p>
                  <w:pPr>
                    <w:pStyle w:val="16"/>
                    <w:spacing w:line="240" w:lineRule="auto"/>
                    <w:ind w:left="420" w:leftChars="0" w:hanging="420" w:firstLineChars="0"/>
                    <w:jc w:val="center"/>
                    <w:rPr>
                      <w:rFonts w:hint="default" w:ascii="Times New Roman" w:hAnsi="Times New Roman" w:eastAsia="宋体" w:cs="Times New Roman"/>
                      <w:snapToGrid w:val="0"/>
                      <w:color w:val="000000"/>
                      <w:kern w:val="0"/>
                      <w:lang w:val="en-US" w:eastAsia="zh-CN"/>
                    </w:rPr>
                  </w:pPr>
                  <w:r>
                    <w:rPr>
                      <w:rFonts w:hint="default" w:ascii="Times New Roman" w:hAnsi="Times New Roman" w:eastAsia="宋体" w:cs="Times New Roman"/>
                      <w:color w:val="000000"/>
                      <w:szCs w:val="21"/>
                    </w:rPr>
                    <w:t>480吨/年</w:t>
                  </w:r>
                </w:p>
              </w:tc>
              <w:tc>
                <w:tcPr>
                  <w:tcW w:w="2045" w:type="dxa"/>
                  <w:tcBorders>
                    <w:tl2br w:val="nil"/>
                    <w:tr2bl w:val="nil"/>
                  </w:tcBorders>
                  <w:noWrap w:val="0"/>
                  <w:vAlign w:val="center"/>
                </w:tcPr>
                <w:p>
                  <w:pPr>
                    <w:pStyle w:val="16"/>
                    <w:spacing w:line="240" w:lineRule="auto"/>
                    <w:ind w:left="420" w:leftChars="0" w:hanging="42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市政污水管网</w:t>
                  </w:r>
                </w:p>
              </w:tc>
              <w:tc>
                <w:tcPr>
                  <w:tcW w:w="1159" w:type="dxa"/>
                  <w:tcBorders>
                    <w:tl2br w:val="nil"/>
                    <w:tr2bl w:val="nil"/>
                  </w:tcBorders>
                  <w:noWrap w:val="0"/>
                  <w:vAlign w:val="center"/>
                </w:tcPr>
                <w:p>
                  <w:pPr>
                    <w:pStyle w:val="16"/>
                    <w:spacing w:line="240" w:lineRule="auto"/>
                    <w:ind w:left="420" w:leftChars="0" w:hanging="420" w:firstLineChars="0"/>
                    <w:jc w:val="center"/>
                    <w:rPr>
                      <w:rFonts w:hint="default" w:ascii="Times New Roman" w:hAnsi="Times New Roman" w:eastAsia="宋体" w:cs="Times New Roman"/>
                      <w:snapToGrid w:val="0"/>
                      <w:color w:val="000000"/>
                      <w:kern w:val="0"/>
                      <w:sz w:val="21"/>
                      <w:szCs w:val="24"/>
                      <w:lang w:val="en-US" w:eastAsia="zh-CN" w:bidi="ar-SA"/>
                    </w:rPr>
                  </w:pPr>
                  <w:r>
                    <w:rPr>
                      <w:rFonts w:hint="default" w:ascii="Times New Roman" w:hAnsi="Times New Roman" w:eastAsia="宋体" w:cs="Times New Roman"/>
                      <w:color w:val="000000"/>
                      <w:szCs w:val="21"/>
                    </w:rPr>
                    <w:t>480吨/年</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snapToGrid w:val="0"/>
                      <w:color w:val="000000"/>
                      <w:kern w:val="0"/>
                      <w:sz w:val="21"/>
                      <w:szCs w:val="21"/>
                      <w:lang w:val="en-US" w:eastAsia="zh-CN" w:bidi="ar"/>
                    </w:rPr>
                  </w:pPr>
                </w:p>
              </w:tc>
              <w:tc>
                <w:tcPr>
                  <w:tcW w:w="1452" w:type="dxa"/>
                  <w:gridSpan w:val="2"/>
                  <w:tcBorders>
                    <w:tl2br w:val="nil"/>
                    <w:tr2bl w:val="nil"/>
                  </w:tcBorders>
                  <w:noWrap w:val="0"/>
                  <w:vAlign w:val="center"/>
                </w:tcPr>
                <w:p>
                  <w:pPr>
                    <w:adjustRightInd w:val="0"/>
                    <w:snapToGrid w:val="0"/>
                    <w:jc w:val="center"/>
                    <w:rPr>
                      <w:rFonts w:hint="default" w:ascii="Times New Roman" w:hAnsi="Times New Roman" w:cs="Times New Roman"/>
                      <w:snapToGrid w:val="0"/>
                      <w:color w:val="000000"/>
                      <w:kern w:val="0"/>
                      <w:lang w:val="en-US" w:eastAsia="zh-CN"/>
                    </w:rPr>
                  </w:pPr>
                  <w:r>
                    <w:rPr>
                      <w:rFonts w:hint="default" w:ascii="Times New Roman" w:hAnsi="Times New Roman" w:cs="Times New Roman"/>
                      <w:color w:val="000000"/>
                      <w:szCs w:val="21"/>
                    </w:rPr>
                    <w:t>供电</w:t>
                  </w:r>
                </w:p>
              </w:tc>
              <w:tc>
                <w:tcPr>
                  <w:tcW w:w="2021" w:type="dxa"/>
                  <w:tcBorders>
                    <w:tl2br w:val="nil"/>
                    <w:tr2bl w:val="nil"/>
                  </w:tcBorders>
                  <w:noWrap w:val="0"/>
                  <w:vAlign w:val="center"/>
                </w:tcPr>
                <w:p>
                  <w:pPr>
                    <w:pStyle w:val="16"/>
                    <w:spacing w:line="240" w:lineRule="auto"/>
                    <w:ind w:left="420" w:leftChars="0" w:hanging="420" w:firstLineChars="0"/>
                    <w:jc w:val="center"/>
                    <w:rPr>
                      <w:rFonts w:hint="default" w:ascii="Times New Roman" w:hAnsi="Times New Roman" w:eastAsia="宋体" w:cs="Times New Roman"/>
                      <w:snapToGrid w:val="0"/>
                      <w:color w:val="000000"/>
                      <w:kern w:val="0"/>
                      <w:lang w:val="en-US" w:eastAsia="zh-CN"/>
                    </w:rPr>
                  </w:pPr>
                  <w:r>
                    <w:rPr>
                      <w:rFonts w:hint="default" w:ascii="Times New Roman" w:hAnsi="Times New Roman" w:eastAsia="宋体" w:cs="Times New Roman"/>
                      <w:color w:val="000000"/>
                      <w:szCs w:val="21"/>
                    </w:rPr>
                    <w:t>150万度/年</w:t>
                  </w:r>
                </w:p>
              </w:tc>
              <w:tc>
                <w:tcPr>
                  <w:tcW w:w="2045" w:type="dxa"/>
                  <w:tcBorders>
                    <w:tl2br w:val="nil"/>
                    <w:tr2bl w:val="nil"/>
                  </w:tcBorders>
                  <w:noWrap w:val="0"/>
                  <w:vAlign w:val="center"/>
                </w:tcPr>
                <w:p>
                  <w:pPr>
                    <w:jc w:val="center"/>
                    <w:rPr>
                      <w:rFonts w:hint="default" w:ascii="Times New Roman" w:hAnsi="Times New Roman" w:cs="Times New Roman"/>
                      <w:snapToGrid w:val="0"/>
                      <w:color w:val="000000"/>
                      <w:kern w:val="0"/>
                      <w:lang w:val="en-US" w:eastAsia="zh-CN"/>
                    </w:rPr>
                  </w:pPr>
                  <w:r>
                    <w:rPr>
                      <w:rFonts w:hint="default" w:ascii="Times New Roman" w:hAnsi="Times New Roman" w:cs="Times New Roman"/>
                      <w:color w:val="000000"/>
                      <w:szCs w:val="21"/>
                    </w:rPr>
                    <w:t>市政供电网</w:t>
                  </w:r>
                </w:p>
              </w:tc>
              <w:tc>
                <w:tcPr>
                  <w:tcW w:w="1159" w:type="dxa"/>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kern w:val="0"/>
                      <w:sz w:val="21"/>
                      <w:szCs w:val="24"/>
                      <w:lang w:val="en-US" w:eastAsia="zh-CN" w:bidi="ar-SA"/>
                    </w:rPr>
                  </w:pPr>
                  <w:r>
                    <w:rPr>
                      <w:rFonts w:hint="default" w:ascii="Times New Roman" w:hAnsi="Times New Roman" w:eastAsia="宋体" w:cs="Times New Roman"/>
                      <w:color w:val="000000"/>
                      <w:szCs w:val="21"/>
                    </w:rPr>
                    <w:t>150万度/年</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restart"/>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napToGrid w:val="0"/>
                      <w:color w:val="000000"/>
                      <w:kern w:val="0"/>
                      <w:sz w:val="21"/>
                      <w:szCs w:val="21"/>
                      <w:lang w:val="en-US"/>
                    </w:rPr>
                  </w:pPr>
                  <w:r>
                    <w:rPr>
                      <w:rFonts w:hint="default" w:ascii="Times New Roman" w:hAnsi="Times New Roman" w:eastAsia="宋体" w:cs="Times New Roman"/>
                      <w:snapToGrid w:val="0"/>
                      <w:color w:val="000000"/>
                      <w:kern w:val="0"/>
                      <w:sz w:val="21"/>
                      <w:szCs w:val="21"/>
                      <w:lang w:val="en-US" w:eastAsia="zh-CN" w:bidi="ar"/>
                    </w:rPr>
                    <w:t>环保工程</w:t>
                  </w:r>
                </w:p>
              </w:tc>
              <w:tc>
                <w:tcPr>
                  <w:tcW w:w="726" w:type="dxa"/>
                  <w:tcBorders>
                    <w:tl2br w:val="nil"/>
                    <w:tr2bl w:val="nil"/>
                  </w:tcBorders>
                  <w:noWrap w:val="0"/>
                  <w:tcMar>
                    <w:left w:w="0" w:type="dxa"/>
                    <w:right w:w="0" w:type="dxa"/>
                  </w:tcMar>
                  <w:vAlign w:val="center"/>
                </w:tcPr>
                <w:p>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napToGrid w:val="0"/>
                      <w:color w:val="000000"/>
                      <w:kern w:val="0"/>
                      <w:sz w:val="21"/>
                      <w:szCs w:val="21"/>
                      <w:lang w:val="en-US" w:eastAsia="zh-CN" w:bidi="ar"/>
                    </w:rPr>
                  </w:pPr>
                  <w:r>
                    <w:rPr>
                      <w:rFonts w:hint="default" w:ascii="Times New Roman" w:hAnsi="Times New Roman" w:eastAsia="宋体" w:cs="Times New Roman"/>
                      <w:snapToGrid w:val="0"/>
                      <w:color w:val="000000"/>
                      <w:kern w:val="0"/>
                      <w:sz w:val="21"/>
                      <w:szCs w:val="21"/>
                      <w:lang w:val="en-US" w:eastAsia="zh-CN" w:bidi="ar"/>
                    </w:rPr>
                    <w:t>废水</w:t>
                  </w:r>
                </w:p>
                <w:p>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napToGrid w:val="0"/>
                      <w:color w:val="000000"/>
                      <w:kern w:val="0"/>
                      <w:sz w:val="21"/>
                      <w:szCs w:val="21"/>
                      <w:lang w:val="en-US"/>
                    </w:rPr>
                  </w:pPr>
                  <w:r>
                    <w:rPr>
                      <w:rFonts w:hint="default" w:ascii="Times New Roman" w:hAnsi="Times New Roman" w:eastAsia="宋体" w:cs="Times New Roman"/>
                      <w:snapToGrid w:val="0"/>
                      <w:color w:val="000000"/>
                      <w:kern w:val="0"/>
                      <w:sz w:val="21"/>
                      <w:szCs w:val="21"/>
                      <w:lang w:val="en-US" w:eastAsia="zh-CN" w:bidi="ar"/>
                    </w:rPr>
                    <w:t>处理</w:t>
                  </w:r>
                </w:p>
              </w:tc>
              <w:tc>
                <w:tcPr>
                  <w:tcW w:w="726" w:type="dxa"/>
                  <w:tcBorders>
                    <w:tl2br w:val="nil"/>
                    <w:tr2bl w:val="nil"/>
                  </w:tcBorders>
                  <w:noWrap w:val="0"/>
                  <w:tcMar>
                    <w:left w:w="0" w:type="dxa"/>
                    <w:right w:w="0" w:type="dxa"/>
                  </w:tcMar>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化粪池</w:t>
                  </w:r>
                </w:p>
              </w:tc>
              <w:tc>
                <w:tcPr>
                  <w:tcW w:w="2021" w:type="dxa"/>
                  <w:tcBorders>
                    <w:tl2br w:val="nil"/>
                    <w:tr2bl w:val="nil"/>
                  </w:tcBorders>
                  <w:noWrap w:val="0"/>
                  <w:vAlign w:val="center"/>
                </w:tcPr>
                <w:p>
                  <w:pPr>
                    <w:pStyle w:val="16"/>
                    <w:spacing w:line="240" w:lineRule="auto"/>
                    <w:ind w:left="420" w:leftChars="0" w:hanging="42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Cs w:val="21"/>
                    </w:rPr>
                    <w:t>生活污水量480t/a</w:t>
                  </w:r>
                </w:p>
              </w:tc>
              <w:tc>
                <w:tcPr>
                  <w:tcW w:w="204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生活污水经收集后接管至张家港市给排水公司金港片区污水处理厂</w:t>
                  </w:r>
                  <w:r>
                    <w:rPr>
                      <w:rFonts w:hint="eastAsia" w:cs="Times New Roman"/>
                      <w:color w:val="000000"/>
                      <w:szCs w:val="21"/>
                      <w:lang w:val="en-US" w:eastAsia="zh-CN"/>
                    </w:rPr>
                    <w:t>集中</w:t>
                  </w:r>
                  <w:r>
                    <w:rPr>
                      <w:rFonts w:hint="default" w:ascii="Times New Roman" w:hAnsi="Times New Roman" w:cs="Times New Roman"/>
                      <w:color w:val="000000"/>
                      <w:szCs w:val="21"/>
                    </w:rPr>
                    <w:t>处理</w:t>
                  </w:r>
                </w:p>
              </w:tc>
              <w:tc>
                <w:tcPr>
                  <w:tcW w:w="11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生活污水量480t/a</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napToGrid w:val="0"/>
                      <w:color w:val="000000"/>
                      <w:kern w:val="0"/>
                      <w:sz w:val="21"/>
                      <w:szCs w:val="21"/>
                      <w:lang w:val="en-US" w:eastAsia="zh-CN" w:bidi="ar"/>
                    </w:rPr>
                  </w:pPr>
                </w:p>
              </w:tc>
              <w:tc>
                <w:tcPr>
                  <w:tcW w:w="726" w:type="dxa"/>
                  <w:tcBorders>
                    <w:tl2br w:val="nil"/>
                    <w:tr2bl w:val="nil"/>
                  </w:tcBorders>
                  <w:noWrap w:val="0"/>
                  <w:tcMar>
                    <w:left w:w="0" w:type="dxa"/>
                    <w:right w:w="0" w:type="dxa"/>
                  </w:tcMar>
                  <w:vAlign w:val="center"/>
                </w:tcPr>
                <w:p>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napToGrid w:val="0"/>
                      <w:color w:val="000000"/>
                      <w:kern w:val="0"/>
                      <w:sz w:val="21"/>
                      <w:szCs w:val="21"/>
                      <w:lang w:val="en-US" w:eastAsia="zh-CN" w:bidi="ar"/>
                    </w:rPr>
                  </w:pPr>
                  <w:r>
                    <w:rPr>
                      <w:rFonts w:hint="default" w:ascii="Times New Roman" w:hAnsi="Times New Roman" w:eastAsia="宋体" w:cs="Times New Roman"/>
                      <w:snapToGrid w:val="0"/>
                      <w:color w:val="000000"/>
                      <w:kern w:val="0"/>
                      <w:sz w:val="21"/>
                      <w:szCs w:val="21"/>
                      <w:lang w:val="en-US" w:eastAsia="zh-CN" w:bidi="ar"/>
                    </w:rPr>
                    <w:t>废气</w:t>
                  </w:r>
                </w:p>
                <w:p>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napToGrid w:val="0"/>
                      <w:color w:val="000000"/>
                      <w:kern w:val="0"/>
                      <w:sz w:val="21"/>
                      <w:szCs w:val="21"/>
                      <w:lang w:val="en-US" w:eastAsia="zh-CN" w:bidi="ar"/>
                    </w:rPr>
                  </w:pPr>
                  <w:r>
                    <w:rPr>
                      <w:rFonts w:hint="default" w:ascii="Times New Roman" w:hAnsi="Times New Roman" w:eastAsia="宋体" w:cs="Times New Roman"/>
                      <w:snapToGrid w:val="0"/>
                      <w:color w:val="000000"/>
                      <w:kern w:val="0"/>
                      <w:sz w:val="21"/>
                      <w:szCs w:val="21"/>
                      <w:lang w:val="en-US" w:eastAsia="zh-CN" w:bidi="ar"/>
                    </w:rPr>
                    <w:t>处理</w:t>
                  </w:r>
                </w:p>
              </w:tc>
              <w:tc>
                <w:tcPr>
                  <w:tcW w:w="726" w:type="dxa"/>
                  <w:tcBorders>
                    <w:tl2br w:val="nil"/>
                    <w:tr2bl w:val="nil"/>
                  </w:tcBorders>
                  <w:noWrap w:val="0"/>
                  <w:tcMar>
                    <w:left w:w="0" w:type="dxa"/>
                    <w:right w:w="0" w:type="dxa"/>
                  </w:tcMar>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w:t>
                  </w:r>
                </w:p>
              </w:tc>
              <w:tc>
                <w:tcPr>
                  <w:tcW w:w="2021" w:type="dxa"/>
                  <w:tcBorders>
                    <w:tl2br w:val="nil"/>
                    <w:tr2bl w:val="nil"/>
                  </w:tcBorders>
                  <w:noWrap w:val="0"/>
                  <w:vAlign w:val="center"/>
                </w:tcPr>
                <w:p>
                  <w:pPr>
                    <w:pStyle w:val="16"/>
                    <w:spacing w:line="240" w:lineRule="auto"/>
                    <w:ind w:left="420" w:leftChars="0" w:hanging="420" w:firstLineChars="0"/>
                    <w:jc w:val="center"/>
                    <w:rPr>
                      <w:rFonts w:hint="default" w:ascii="Times New Roman" w:hAnsi="Times New Roman" w:eastAsia="宋体" w:cs="Times New Roman"/>
                      <w:snapToGrid w:val="0"/>
                      <w:color w:val="000000"/>
                      <w:kern w:val="0"/>
                      <w:lang w:val="en-US" w:eastAsia="zh-CN"/>
                    </w:rPr>
                  </w:pPr>
                  <w:r>
                    <w:rPr>
                      <w:rFonts w:hint="default" w:ascii="Times New Roman" w:hAnsi="Times New Roman" w:eastAsia="宋体" w:cs="Times New Roman"/>
                      <w:color w:val="000000"/>
                      <w:szCs w:val="21"/>
                    </w:rPr>
                    <w:t>/</w:t>
                  </w:r>
                </w:p>
              </w:tc>
              <w:tc>
                <w:tcPr>
                  <w:tcW w:w="204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不涉及废气</w:t>
                  </w:r>
                </w:p>
              </w:tc>
              <w:tc>
                <w:tcPr>
                  <w:tcW w:w="11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noWrap w:val="0"/>
                  <w:vAlign w:val="center"/>
                </w:tcPr>
                <w:p>
                  <w:pPr>
                    <w:jc w:val="center"/>
                    <w:rPr>
                      <w:rFonts w:hint="default" w:ascii="Times New Roman" w:hAnsi="Times New Roman" w:eastAsia="宋体" w:cs="Times New Roman"/>
                      <w:color w:val="000000"/>
                      <w:sz w:val="21"/>
                      <w:szCs w:val="21"/>
                    </w:rPr>
                  </w:pPr>
                </w:p>
              </w:tc>
              <w:tc>
                <w:tcPr>
                  <w:tcW w:w="726" w:type="dxa"/>
                  <w:tcBorders>
                    <w:tl2br w:val="nil"/>
                    <w:tr2bl w:val="nil"/>
                  </w:tcBorders>
                  <w:noWrap w:val="0"/>
                  <w:tcMar>
                    <w:left w:w="0" w:type="dxa"/>
                    <w:right w:w="0"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snapToGrid w:val="0"/>
                      <w:color w:val="000000"/>
                      <w:kern w:val="0"/>
                      <w:sz w:val="21"/>
                      <w:szCs w:val="21"/>
                      <w:lang w:val="en-US" w:eastAsia="zh-CN" w:bidi="ar"/>
                    </w:rPr>
                  </w:pPr>
                  <w:r>
                    <w:rPr>
                      <w:rFonts w:hint="default" w:ascii="Times New Roman" w:hAnsi="Times New Roman" w:eastAsia="宋体" w:cs="Times New Roman"/>
                      <w:snapToGrid w:val="0"/>
                      <w:color w:val="000000"/>
                      <w:kern w:val="0"/>
                      <w:sz w:val="21"/>
                      <w:szCs w:val="21"/>
                      <w:lang w:val="en-US" w:eastAsia="zh-CN" w:bidi="ar"/>
                    </w:rPr>
                    <w:t>噪声</w:t>
                  </w:r>
                </w:p>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snapToGrid w:val="0"/>
                      <w:color w:val="000000"/>
                      <w:kern w:val="0"/>
                      <w:sz w:val="21"/>
                      <w:szCs w:val="21"/>
                      <w:lang w:val="en-US"/>
                    </w:rPr>
                  </w:pPr>
                  <w:r>
                    <w:rPr>
                      <w:rFonts w:hint="default" w:ascii="Times New Roman" w:hAnsi="Times New Roman" w:eastAsia="宋体" w:cs="Times New Roman"/>
                      <w:snapToGrid w:val="0"/>
                      <w:color w:val="000000"/>
                      <w:kern w:val="0"/>
                      <w:sz w:val="21"/>
                      <w:szCs w:val="21"/>
                      <w:lang w:val="en-US" w:eastAsia="zh-CN" w:bidi="ar"/>
                    </w:rPr>
                    <w:t>处理</w:t>
                  </w:r>
                </w:p>
              </w:tc>
              <w:tc>
                <w:tcPr>
                  <w:tcW w:w="726" w:type="dxa"/>
                  <w:tcBorders>
                    <w:tl2br w:val="nil"/>
                    <w:tr2bl w:val="nil"/>
                  </w:tcBorders>
                  <w:noWrap w:val="0"/>
                  <w:tcMar>
                    <w:left w:w="0" w:type="dxa"/>
                    <w:right w:w="0" w:type="dxa"/>
                  </w:tcMar>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设备运转</w:t>
                  </w:r>
                </w:p>
              </w:tc>
              <w:tc>
                <w:tcPr>
                  <w:tcW w:w="2021" w:type="dxa"/>
                  <w:tcBorders>
                    <w:tl2br w:val="nil"/>
                    <w:tr2bl w:val="nil"/>
                  </w:tcBorders>
                  <w:noWrap w:val="0"/>
                  <w:vAlign w:val="center"/>
                </w:tcPr>
                <w:p>
                  <w:pPr>
                    <w:pStyle w:val="16"/>
                    <w:spacing w:line="240" w:lineRule="auto"/>
                    <w:ind w:left="420" w:leftChars="0" w:hanging="420" w:firstLineChars="0"/>
                    <w:jc w:val="center"/>
                    <w:rPr>
                      <w:rFonts w:hint="default" w:ascii="Times New Roman" w:hAnsi="Times New Roman" w:eastAsia="宋体" w:cs="Times New Roman"/>
                      <w:snapToGrid w:val="0"/>
                      <w:color w:val="000000"/>
                      <w:kern w:val="0"/>
                      <w:sz w:val="21"/>
                      <w:szCs w:val="21"/>
                      <w:highlight w:val="none"/>
                      <w:lang w:eastAsia="zh-CN"/>
                    </w:rPr>
                  </w:pPr>
                  <w:r>
                    <w:rPr>
                      <w:rFonts w:hint="default" w:ascii="Times New Roman" w:hAnsi="Times New Roman" w:eastAsia="宋体" w:cs="Times New Roman"/>
                      <w:color w:val="000000"/>
                      <w:szCs w:val="21"/>
                    </w:rPr>
                    <w:t>/</w:t>
                  </w:r>
                </w:p>
              </w:tc>
              <w:tc>
                <w:tcPr>
                  <w:tcW w:w="2045" w:type="dxa"/>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控制</w:t>
                  </w:r>
                  <w:r>
                    <w:rPr>
                      <w:rFonts w:hint="eastAsia" w:cs="Times New Roman"/>
                      <w:color w:val="000000"/>
                      <w:szCs w:val="21"/>
                      <w:lang w:val="en-US" w:eastAsia="zh-CN"/>
                    </w:rPr>
                    <w:t>转</w:t>
                  </w:r>
                  <w:r>
                    <w:rPr>
                      <w:rFonts w:hint="default" w:ascii="Times New Roman" w:hAnsi="Times New Roman" w:cs="Times New Roman"/>
                      <w:color w:val="000000"/>
                      <w:szCs w:val="21"/>
                    </w:rPr>
                    <w:t>速，绿化衰减等</w:t>
                  </w:r>
                </w:p>
              </w:tc>
              <w:tc>
                <w:tcPr>
                  <w:tcW w:w="11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noWrap w:val="0"/>
                  <w:vAlign w:val="center"/>
                </w:tcPr>
                <w:p>
                  <w:pPr>
                    <w:jc w:val="center"/>
                    <w:rPr>
                      <w:rFonts w:hint="default" w:ascii="Times New Roman" w:hAnsi="Times New Roman" w:eastAsia="宋体" w:cs="Times New Roman"/>
                      <w:color w:val="000000"/>
                      <w:sz w:val="21"/>
                      <w:szCs w:val="21"/>
                    </w:rPr>
                  </w:pPr>
                </w:p>
              </w:tc>
              <w:tc>
                <w:tcPr>
                  <w:tcW w:w="726" w:type="dxa"/>
                  <w:tcBorders>
                    <w:tl2br w:val="nil"/>
                    <w:tr2bl w:val="nil"/>
                  </w:tcBorders>
                  <w:noWrap w:val="0"/>
                  <w:tcMar>
                    <w:left w:w="0" w:type="dxa"/>
                    <w:right w:w="0" w:type="dxa"/>
                  </w:tcMar>
                  <w:vAlign w:val="center"/>
                </w:tcPr>
                <w:p>
                  <w:pPr>
                    <w:jc w:val="center"/>
                    <w:rPr>
                      <w:rFonts w:hint="default" w:ascii="Times New Roman" w:hAnsi="Times New Roman" w:eastAsia="宋体" w:cs="Times New Roman"/>
                      <w:snapToGrid w:val="0"/>
                      <w:color w:val="000000"/>
                      <w:kern w:val="0"/>
                      <w:sz w:val="21"/>
                      <w:szCs w:val="21"/>
                      <w:lang w:eastAsia="zh-CN"/>
                    </w:rPr>
                  </w:pPr>
                  <w:r>
                    <w:rPr>
                      <w:rFonts w:hint="default" w:ascii="Times New Roman" w:hAnsi="Times New Roman" w:eastAsia="宋体" w:cs="Times New Roman"/>
                      <w:snapToGrid w:val="0"/>
                      <w:color w:val="000000"/>
                      <w:kern w:val="0"/>
                      <w:sz w:val="21"/>
                      <w:szCs w:val="21"/>
                      <w:lang w:eastAsia="zh-CN"/>
                    </w:rPr>
                    <w:t>固废</w:t>
                  </w:r>
                </w:p>
                <w:p>
                  <w:pPr>
                    <w:jc w:val="center"/>
                    <w:rPr>
                      <w:rFonts w:hint="default" w:ascii="Times New Roman" w:hAnsi="Times New Roman" w:eastAsia="宋体" w:cs="Times New Roman"/>
                      <w:snapToGrid w:val="0"/>
                      <w:color w:val="000000"/>
                      <w:kern w:val="0"/>
                      <w:sz w:val="21"/>
                      <w:szCs w:val="21"/>
                      <w:lang w:val="en-US" w:eastAsia="zh-CN" w:bidi="ar"/>
                    </w:rPr>
                  </w:pPr>
                  <w:r>
                    <w:rPr>
                      <w:rFonts w:hint="default" w:ascii="Times New Roman" w:hAnsi="Times New Roman" w:eastAsia="宋体" w:cs="Times New Roman"/>
                      <w:snapToGrid w:val="0"/>
                      <w:color w:val="000000"/>
                      <w:kern w:val="0"/>
                      <w:sz w:val="21"/>
                      <w:szCs w:val="21"/>
                      <w:lang w:eastAsia="zh-CN"/>
                    </w:rPr>
                    <w:t>处理</w:t>
                  </w:r>
                </w:p>
              </w:tc>
              <w:tc>
                <w:tcPr>
                  <w:tcW w:w="726" w:type="dxa"/>
                  <w:tcBorders>
                    <w:tl2br w:val="nil"/>
                    <w:tr2bl w:val="nil"/>
                  </w:tcBorders>
                  <w:noWrap w:val="0"/>
                  <w:tcMar>
                    <w:left w:w="0" w:type="dxa"/>
                    <w:right w:w="0" w:type="dxa"/>
                  </w:tcMar>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一般固废</w:t>
                  </w:r>
                </w:p>
              </w:tc>
              <w:tc>
                <w:tcPr>
                  <w:tcW w:w="2021" w:type="dxa"/>
                  <w:tcBorders>
                    <w:tl2br w:val="nil"/>
                    <w:tr2bl w:val="nil"/>
                  </w:tcBorders>
                  <w:noWrap w:val="0"/>
                  <w:vAlign w:val="center"/>
                </w:tcPr>
                <w:p>
                  <w:pPr>
                    <w:pStyle w:val="16"/>
                    <w:spacing w:line="240" w:lineRule="auto"/>
                    <w:ind w:left="420" w:leftChars="0" w:hanging="420" w:firstLineChars="0"/>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color w:val="000000"/>
                      <w:szCs w:val="21"/>
                    </w:rPr>
                    <w:t>20m</w:t>
                  </w:r>
                  <w:r>
                    <w:rPr>
                      <w:rFonts w:hint="default" w:ascii="Times New Roman" w:hAnsi="Times New Roman" w:eastAsia="宋体" w:cs="Times New Roman"/>
                      <w:color w:val="000000"/>
                      <w:szCs w:val="21"/>
                      <w:vertAlign w:val="superscript"/>
                    </w:rPr>
                    <w:t>2</w:t>
                  </w:r>
                </w:p>
              </w:tc>
              <w:tc>
                <w:tcPr>
                  <w:tcW w:w="2045" w:type="dxa"/>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符合相关要求</w:t>
                  </w:r>
                </w:p>
              </w:tc>
              <w:tc>
                <w:tcPr>
                  <w:tcW w:w="1159" w:type="dxa"/>
                  <w:tcBorders>
                    <w:tl2br w:val="nil"/>
                    <w:tr2bl w:val="nil"/>
                  </w:tcBorders>
                  <w:noWrap w:val="0"/>
                  <w:vAlign w:val="center"/>
                </w:tcPr>
                <w:p>
                  <w:pPr>
                    <w:pStyle w:val="16"/>
                    <w:spacing w:line="240" w:lineRule="auto"/>
                    <w:ind w:left="420" w:leftChars="0" w:hanging="420" w:firstLineChars="0"/>
                    <w:jc w:val="center"/>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color w:val="000000"/>
                      <w:szCs w:val="21"/>
                    </w:rPr>
                    <w:t>20m</w:t>
                  </w:r>
                  <w:r>
                    <w:rPr>
                      <w:rFonts w:hint="default" w:ascii="Times New Roman" w:hAnsi="Times New Roman" w:eastAsia="宋体" w:cs="Times New Roman"/>
                      <w:color w:val="000000"/>
                      <w:szCs w:val="21"/>
                      <w:vertAlign w:val="superscript"/>
                    </w:rPr>
                    <w:t>2</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z w:val="21"/>
                      <w:szCs w:val="21"/>
                      <w:lang w:val="en-US" w:eastAsia="zh-CN"/>
                    </w:rPr>
                    <w:t>无变化</w:t>
                  </w:r>
                </w:p>
              </w:tc>
            </w:tr>
          </w:tbl>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outlineLvl w:val="9"/>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3、主要设备</w:t>
            </w:r>
          </w:p>
          <w:p>
            <w:pPr>
              <w:keepNext w:val="0"/>
              <w:keepLines w:val="0"/>
              <w:pageBreakBefore w:val="0"/>
              <w:widowControl w:val="0"/>
              <w:kinsoku/>
              <w:wordWrap/>
              <w:overflowPunct/>
              <w:topLinePunct w:val="0"/>
              <w:autoSpaceDE/>
              <w:autoSpaceDN/>
              <w:bidi w:val="0"/>
              <w:adjustRightInd/>
              <w:snapToGrid/>
              <w:spacing w:line="360" w:lineRule="auto"/>
              <w:ind w:firstLine="465"/>
              <w:textAlignment w:val="auto"/>
              <w:outlineLvl w:val="9"/>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本项目主要设备见表</w:t>
            </w:r>
            <w:r>
              <w:rPr>
                <w:rFonts w:hint="default" w:ascii="Times New Roman" w:hAnsi="Times New Roman" w:cs="Times New Roman"/>
                <w:sz w:val="24"/>
                <w:szCs w:val="24"/>
                <w:highlight w:val="none"/>
                <w:lang w:val="en-US" w:eastAsia="zh-CN"/>
              </w:rPr>
              <w:t>2</w:t>
            </w:r>
            <w:r>
              <w:rPr>
                <w:rFonts w:hint="default" w:ascii="Times New Roman" w:hAnsi="Times New Roman" w:eastAsia="宋体" w:cs="Times New Roman"/>
                <w:sz w:val="24"/>
                <w:szCs w:val="24"/>
                <w:highlight w:val="none"/>
              </w:rPr>
              <w:t>-</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rPr>
              <w:t>。</w:t>
            </w:r>
          </w:p>
          <w:p>
            <w:pPr>
              <w:pStyle w:val="3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9"/>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表</w:t>
            </w:r>
            <w:r>
              <w:rPr>
                <w:rFonts w:hint="default" w:ascii="Times New Roman" w:hAnsi="Times New Roman" w:cs="Times New Roman"/>
                <w:b/>
                <w:bCs/>
                <w:sz w:val="24"/>
                <w:szCs w:val="24"/>
                <w:highlight w:val="none"/>
                <w:lang w:val="en-US" w:eastAsia="zh-CN"/>
              </w:rPr>
              <w:t>2</w:t>
            </w:r>
            <w:r>
              <w:rPr>
                <w:rFonts w:hint="default" w:ascii="Times New Roman" w:hAnsi="Times New Roman" w:eastAsia="宋体" w:cs="Times New Roman"/>
                <w:b/>
                <w:bCs/>
                <w:sz w:val="24"/>
                <w:szCs w:val="24"/>
                <w:highlight w:val="none"/>
                <w:lang w:val="en-US" w:eastAsia="zh-CN"/>
              </w:rPr>
              <w:t>-</w:t>
            </w:r>
            <w:r>
              <w:rPr>
                <w:rFonts w:hint="default" w:ascii="Times New Roman" w:hAnsi="Times New Roman" w:cs="Times New Roman"/>
                <w:b/>
                <w:bCs/>
                <w:sz w:val="24"/>
                <w:szCs w:val="24"/>
                <w:highlight w:val="none"/>
                <w:lang w:val="en-US" w:eastAsia="zh-CN"/>
              </w:rPr>
              <w:t>3</w:t>
            </w:r>
            <w:r>
              <w:rPr>
                <w:rFonts w:hint="default" w:ascii="Times New Roman" w:hAnsi="Times New Roman" w:eastAsia="宋体" w:cs="Times New Roman"/>
                <w:b/>
                <w:bCs/>
                <w:sz w:val="24"/>
                <w:szCs w:val="24"/>
                <w:highlight w:val="none"/>
                <w:lang w:val="en-US" w:eastAsia="zh-CN"/>
              </w:rPr>
              <w:t xml:space="preserve">  本项目主要设备一览表</w:t>
            </w:r>
          </w:p>
          <w:tbl>
            <w:tblPr>
              <w:tblStyle w:val="18"/>
              <w:tblW w:w="48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3"/>
              <w:gridCol w:w="1732"/>
              <w:gridCol w:w="1541"/>
              <w:gridCol w:w="777"/>
              <w:gridCol w:w="818"/>
              <w:gridCol w:w="873"/>
              <w:gridCol w:w="736"/>
              <w:gridCol w:w="9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8" w:type="pct"/>
                  <w:noWrap w:val="0"/>
                  <w:vAlign w:val="center"/>
                </w:tcPr>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序号</w:t>
                  </w:r>
                </w:p>
              </w:tc>
              <w:tc>
                <w:tcPr>
                  <w:tcW w:w="1076" w:type="pct"/>
                  <w:noWrap w:val="0"/>
                  <w:vAlign w:val="center"/>
                </w:tcPr>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名称</w:t>
                  </w:r>
                </w:p>
              </w:tc>
              <w:tc>
                <w:tcPr>
                  <w:tcW w:w="957" w:type="pct"/>
                  <w:noWrap w:val="0"/>
                  <w:vAlign w:val="center"/>
                </w:tcPr>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规格（型号）</w:t>
                  </w:r>
                </w:p>
              </w:tc>
              <w:tc>
                <w:tcPr>
                  <w:tcW w:w="482" w:type="pct"/>
                  <w:noWrap w:val="0"/>
                  <w:vAlign w:val="center"/>
                </w:tcPr>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lang w:val="en-US" w:eastAsia="zh-CN"/>
                    </w:rPr>
                    <w:t>设计</w:t>
                  </w:r>
                  <w:r>
                    <w:rPr>
                      <w:rFonts w:hint="default" w:ascii="Times New Roman" w:hAnsi="Times New Roman" w:cs="Times New Roman"/>
                      <w:b/>
                      <w:color w:val="000000"/>
                      <w:szCs w:val="21"/>
                    </w:rPr>
                    <w:t>数量</w:t>
                  </w:r>
                </w:p>
              </w:tc>
              <w:tc>
                <w:tcPr>
                  <w:tcW w:w="508" w:type="pct"/>
                  <w:noWrap w:val="0"/>
                  <w:vAlign w:val="center"/>
                </w:tcPr>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备注</w:t>
                  </w:r>
                </w:p>
              </w:tc>
              <w:tc>
                <w:tcPr>
                  <w:tcW w:w="542" w:type="pct"/>
                  <w:noWrap w:val="0"/>
                  <w:vAlign w:val="center"/>
                </w:tcPr>
                <w:p>
                  <w:pPr>
                    <w:adjustRightInd w:val="0"/>
                    <w:snapToGrid w:val="0"/>
                    <w:jc w:val="center"/>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rPr>
                    <w:t>实际建设</w:t>
                  </w:r>
                </w:p>
              </w:tc>
              <w:tc>
                <w:tcPr>
                  <w:tcW w:w="457" w:type="pct"/>
                  <w:noWrap w:val="0"/>
                  <w:vAlign w:val="center"/>
                </w:tcPr>
                <w:p>
                  <w:pPr>
                    <w:adjustRightInd w:val="0"/>
                    <w:snapToGrid w:val="0"/>
                    <w:jc w:val="center"/>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单位</w:t>
                  </w:r>
                </w:p>
              </w:tc>
              <w:tc>
                <w:tcPr>
                  <w:tcW w:w="605" w:type="pct"/>
                  <w:noWrap w:val="0"/>
                  <w:vAlign w:val="center"/>
                </w:tcPr>
                <w:p>
                  <w:pPr>
                    <w:adjustRightInd w:val="0"/>
                    <w:snapToGrid w:val="0"/>
                    <w:jc w:val="center"/>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变化情况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圆盘裁切机</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直径7.3m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横竖双刀数控</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5.5m*3m*2m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海绵冲孔机</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3m*5m*1.5m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海绵压花机</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4m*5m*1.2m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5</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海绵组合切割流水线</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28m*5m*0.8m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6</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裥棉机</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10m*4.5m*1.6m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2</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7</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电脑自动裁剪机</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3.87m*3.86m*2.4m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8</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锁边机</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3.6m*2m*0.7m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9</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长臂商标机</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1.5m*0.8m*0.8m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长臂补线机</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1.5m*0.8m*0.8m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11</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针车</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1m*0.8m*0.7m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5</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5</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12</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锁边机（薄）</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1m*0.8m*0.7m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2</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13</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围边机</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2m*1.6m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2</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14</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全自动压缩卷包机</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13.1m*4.2m*3.3m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15</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半自动套内外布套机</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22m*2.3m*0.8</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新增</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16</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电脑绣花机</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2.96m*2m*1.2m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6个头</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17</w:t>
                  </w:r>
                </w:p>
              </w:tc>
              <w:tc>
                <w:tcPr>
                  <w:tcW w:w="1076"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床垫侧边绗缝机</w:t>
                  </w:r>
                </w:p>
              </w:tc>
              <w:tc>
                <w:tcPr>
                  <w:tcW w:w="957"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8m*1.5m*1m</w:t>
                  </w:r>
                </w:p>
              </w:tc>
              <w:tc>
                <w:tcPr>
                  <w:tcW w:w="482"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508" w:type="pc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直线机+打点机</w:t>
                  </w:r>
                </w:p>
              </w:tc>
              <w:tc>
                <w:tcPr>
                  <w:tcW w:w="542" w:type="pc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w:t>
                  </w:r>
                </w:p>
              </w:tc>
              <w:tc>
                <w:tcPr>
                  <w:tcW w:w="457"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台</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z w:val="21"/>
                      <w:szCs w:val="21"/>
                      <w:lang w:val="en-US" w:eastAsia="zh-CN"/>
                    </w:rPr>
                    <w:t>无变化</w:t>
                  </w:r>
                </w:p>
              </w:tc>
            </w:tr>
          </w:tbl>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4、主要原辅料及用量</w:t>
            </w:r>
          </w:p>
          <w:p>
            <w:pPr>
              <w:keepNext w:val="0"/>
              <w:keepLines w:val="0"/>
              <w:pageBreakBefore w:val="0"/>
              <w:widowControl w:val="0"/>
              <w:kinsoku/>
              <w:wordWrap/>
              <w:overflowPunct/>
              <w:topLinePunct w:val="0"/>
              <w:autoSpaceDE/>
              <w:autoSpaceDN/>
              <w:bidi w:val="0"/>
              <w:adjustRightInd/>
              <w:snapToGrid/>
              <w:spacing w:line="360" w:lineRule="auto"/>
              <w:ind w:firstLine="465"/>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本项目原材料及用量见表2-</w:t>
            </w:r>
            <w:r>
              <w:rPr>
                <w:rFonts w:hint="default" w:ascii="Times New Roman" w:hAnsi="Times New Roman" w:cs="Times New Roman"/>
                <w:sz w:val="24"/>
                <w:szCs w:val="24"/>
                <w:lang w:val="en-US" w:eastAsia="zh-CN"/>
              </w:rPr>
              <w:t>4</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default"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本项目主要原辅料及用量表</w:t>
            </w:r>
          </w:p>
          <w:tbl>
            <w:tblPr>
              <w:tblStyle w:val="18"/>
              <w:tblW w:w="48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162"/>
              <w:gridCol w:w="1977"/>
              <w:gridCol w:w="1418"/>
              <w:gridCol w:w="1432"/>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425" w:type="pct"/>
                  <w:noWrap w:val="0"/>
                  <w:vAlign w:val="center"/>
                </w:tcPr>
                <w:p>
                  <w:pPr>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序号</w:t>
                  </w:r>
                </w:p>
              </w:tc>
              <w:tc>
                <w:tcPr>
                  <w:tcW w:w="716" w:type="pct"/>
                  <w:noWrap w:val="0"/>
                  <w:vAlign w:val="center"/>
                </w:tcPr>
                <w:p>
                  <w:pPr>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名称</w:t>
                  </w:r>
                </w:p>
              </w:tc>
              <w:tc>
                <w:tcPr>
                  <w:tcW w:w="1218" w:type="pct"/>
                  <w:noWrap w:val="0"/>
                  <w:vAlign w:val="center"/>
                </w:tcPr>
                <w:p>
                  <w:pPr>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成分、规格</w:t>
                  </w:r>
                </w:p>
              </w:tc>
              <w:tc>
                <w:tcPr>
                  <w:tcW w:w="874" w:type="pct"/>
                  <w:noWrap w:val="0"/>
                  <w:vAlign w:val="center"/>
                </w:tcPr>
                <w:p>
                  <w:pPr>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lang w:val="en-US" w:eastAsia="zh-CN"/>
                    </w:rPr>
                    <w:t>设计</w:t>
                  </w:r>
                  <w:r>
                    <w:rPr>
                      <w:rFonts w:hint="default" w:ascii="Times New Roman" w:hAnsi="Times New Roman" w:eastAsia="宋体" w:cs="Times New Roman"/>
                      <w:b/>
                      <w:bCs/>
                      <w:snapToGrid w:val="0"/>
                      <w:kern w:val="0"/>
                      <w:sz w:val="21"/>
                      <w:szCs w:val="21"/>
                    </w:rPr>
                    <w:t>年用量</w:t>
                  </w:r>
                </w:p>
              </w:tc>
              <w:tc>
                <w:tcPr>
                  <w:tcW w:w="882" w:type="pct"/>
                  <w:noWrap w:val="0"/>
                  <w:vAlign w:val="center"/>
                </w:tcPr>
                <w:p>
                  <w:pPr>
                    <w:adjustRightInd w:val="0"/>
                    <w:snapToGrid w:val="0"/>
                    <w:jc w:val="center"/>
                    <w:rPr>
                      <w:rFonts w:hint="default" w:ascii="Times New Roman" w:hAnsi="Times New Roman" w:eastAsia="宋体" w:cs="Times New Roman"/>
                      <w:b/>
                      <w:bCs/>
                      <w:snapToGrid w:val="0"/>
                      <w:kern w:val="0"/>
                      <w:sz w:val="21"/>
                      <w:szCs w:val="21"/>
                      <w:lang w:eastAsia="zh-CN"/>
                    </w:rPr>
                  </w:pPr>
                  <w:r>
                    <w:rPr>
                      <w:rFonts w:hint="default" w:ascii="Times New Roman" w:hAnsi="Times New Roman" w:eastAsia="宋体" w:cs="Times New Roman"/>
                      <w:b/>
                      <w:bCs/>
                      <w:snapToGrid w:val="0"/>
                      <w:kern w:val="0"/>
                      <w:sz w:val="21"/>
                      <w:szCs w:val="21"/>
                      <w:lang w:val="en-US" w:eastAsia="zh-CN"/>
                    </w:rPr>
                    <w:t>实际建设</w:t>
                  </w:r>
                </w:p>
              </w:tc>
              <w:tc>
                <w:tcPr>
                  <w:tcW w:w="882" w:type="pct"/>
                  <w:noWrap w:val="0"/>
                  <w:vAlign w:val="center"/>
                </w:tcPr>
                <w:p>
                  <w:pPr>
                    <w:adjustRightInd w:val="0"/>
                    <w:snapToGrid w:val="0"/>
                    <w:jc w:val="center"/>
                    <w:rPr>
                      <w:rFonts w:hint="default" w:ascii="Times New Roman" w:hAnsi="Times New Roman" w:eastAsia="宋体" w:cs="Times New Roman"/>
                      <w:b/>
                      <w:bCs/>
                      <w:snapToGrid w:val="0"/>
                      <w:kern w:val="0"/>
                      <w:sz w:val="21"/>
                      <w:szCs w:val="21"/>
                      <w:lang w:val="en-US" w:eastAsia="zh-CN"/>
                    </w:rPr>
                  </w:pPr>
                  <w:r>
                    <w:rPr>
                      <w:rFonts w:hint="default" w:ascii="Times New Roman" w:hAnsi="Times New Roman" w:cs="Times New Roman"/>
                      <w:b/>
                      <w:bCs/>
                      <w:snapToGrid w:val="0"/>
                      <w:kern w:val="0"/>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noWrap w:val="0"/>
                  <w:vAlign w:val="center"/>
                </w:tcPr>
                <w:p>
                  <w:pPr>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1</w:t>
                  </w:r>
                </w:p>
              </w:tc>
              <w:tc>
                <w:tcPr>
                  <w:tcW w:w="716"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color w:val="000000"/>
                      <w:sz w:val="21"/>
                      <w:szCs w:val="21"/>
                    </w:rPr>
                    <w:t>海绵</w:t>
                  </w:r>
                </w:p>
              </w:tc>
              <w:tc>
                <w:tcPr>
                  <w:tcW w:w="1218"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color w:val="000000"/>
                      <w:sz w:val="21"/>
                      <w:szCs w:val="21"/>
                    </w:rPr>
                    <w:t>PPG、LMDL、TDL</w:t>
                  </w:r>
                </w:p>
              </w:tc>
              <w:tc>
                <w:tcPr>
                  <w:tcW w:w="874" w:type="pct"/>
                  <w:noWrap w:val="0"/>
                  <w:vAlign w:val="center"/>
                </w:tcPr>
                <w:p>
                  <w:pPr>
                    <w:pStyle w:val="10"/>
                    <w:spacing w:line="240" w:lineRule="auto"/>
                    <w:ind w:left="0" w:leftChars="0" w:firstLine="0" w:firstLineChars="0"/>
                    <w:jc w:val="center"/>
                    <w:rPr>
                      <w:rFonts w:hint="default" w:ascii="Times New Roman" w:hAnsi="Times New Roman" w:eastAsia="宋体" w:cs="Times New Roman"/>
                      <w:color w:val="0000FF"/>
                      <w:sz w:val="21"/>
                      <w:szCs w:val="21"/>
                      <w:lang w:val="en-US" w:eastAsia="zh-CN"/>
                    </w:rPr>
                  </w:pPr>
                  <w:r>
                    <w:rPr>
                      <w:rFonts w:hint="default" w:ascii="Times New Roman" w:hAnsi="Times New Roman" w:cs="Times New Roman"/>
                      <w:color w:val="000000"/>
                      <w:sz w:val="21"/>
                      <w:szCs w:val="21"/>
                    </w:rPr>
                    <w:t>10万立方</w:t>
                  </w:r>
                </w:p>
              </w:tc>
              <w:tc>
                <w:tcPr>
                  <w:tcW w:w="882" w:type="pct"/>
                  <w:noWrap w:val="0"/>
                  <w:vAlign w:val="center"/>
                </w:tcPr>
                <w:p>
                  <w:pPr>
                    <w:pStyle w:val="10"/>
                    <w:spacing w:line="240" w:lineRule="auto"/>
                    <w:ind w:left="0" w:leftChars="0" w:firstLine="0" w:firstLineChars="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cs="Times New Roman"/>
                      <w:color w:val="000000"/>
                      <w:sz w:val="21"/>
                      <w:szCs w:val="21"/>
                    </w:rPr>
                    <w:t>10万立方</w:t>
                  </w:r>
                </w:p>
              </w:tc>
              <w:tc>
                <w:tcPr>
                  <w:tcW w:w="8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noWrap w:val="0"/>
                  <w:vAlign w:val="center"/>
                </w:tcPr>
                <w:p>
                  <w:pPr>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2</w:t>
                  </w:r>
                </w:p>
              </w:tc>
              <w:tc>
                <w:tcPr>
                  <w:tcW w:w="716"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color w:val="000000"/>
                      <w:sz w:val="21"/>
                      <w:szCs w:val="21"/>
                    </w:rPr>
                    <w:t>布料</w:t>
                  </w:r>
                </w:p>
              </w:tc>
              <w:tc>
                <w:tcPr>
                  <w:tcW w:w="1218"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color w:val="000000"/>
                      <w:sz w:val="21"/>
                      <w:szCs w:val="21"/>
                    </w:rPr>
                    <w:t>棉和化纤</w:t>
                  </w:r>
                </w:p>
              </w:tc>
              <w:tc>
                <w:tcPr>
                  <w:tcW w:w="874"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color w:val="0000FF"/>
                      <w:kern w:val="0"/>
                      <w:sz w:val="21"/>
                      <w:szCs w:val="21"/>
                      <w:lang w:val="en-US" w:eastAsia="zh-CN" w:bidi="ar-SA"/>
                    </w:rPr>
                  </w:pPr>
                  <w:r>
                    <w:rPr>
                      <w:rFonts w:hint="default" w:ascii="Times New Roman" w:hAnsi="Times New Roman" w:cs="Times New Roman"/>
                      <w:color w:val="000000"/>
                      <w:sz w:val="21"/>
                      <w:szCs w:val="21"/>
                    </w:rPr>
                    <w:t>60万米</w:t>
                  </w:r>
                </w:p>
              </w:tc>
              <w:tc>
                <w:tcPr>
                  <w:tcW w:w="882"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color w:val="0000FF"/>
                      <w:kern w:val="0"/>
                      <w:sz w:val="21"/>
                      <w:szCs w:val="21"/>
                      <w:lang w:val="en-US" w:eastAsia="zh-CN" w:bidi="ar-SA"/>
                    </w:rPr>
                  </w:pPr>
                  <w:r>
                    <w:rPr>
                      <w:rFonts w:hint="default" w:ascii="Times New Roman" w:hAnsi="Times New Roman" w:cs="Times New Roman"/>
                      <w:color w:val="000000"/>
                      <w:sz w:val="21"/>
                      <w:szCs w:val="21"/>
                    </w:rPr>
                    <w:t>60万米</w:t>
                  </w:r>
                </w:p>
              </w:tc>
              <w:tc>
                <w:tcPr>
                  <w:tcW w:w="8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noWrap w:val="0"/>
                  <w:vAlign w:val="center"/>
                </w:tcPr>
                <w:p>
                  <w:pPr>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3</w:t>
                  </w:r>
                </w:p>
              </w:tc>
              <w:tc>
                <w:tcPr>
                  <w:tcW w:w="716"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color w:val="000000"/>
                      <w:sz w:val="21"/>
                      <w:szCs w:val="21"/>
                    </w:rPr>
                    <w:t>纸箱</w:t>
                  </w:r>
                </w:p>
              </w:tc>
              <w:tc>
                <w:tcPr>
                  <w:tcW w:w="1218"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color w:val="000000"/>
                      <w:sz w:val="21"/>
                      <w:szCs w:val="21"/>
                    </w:rPr>
                    <w:t>纸</w:t>
                  </w:r>
                </w:p>
              </w:tc>
              <w:tc>
                <w:tcPr>
                  <w:tcW w:w="874"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color w:val="0000FF"/>
                      <w:kern w:val="0"/>
                      <w:sz w:val="21"/>
                      <w:szCs w:val="21"/>
                      <w:lang w:val="en-US" w:eastAsia="zh-CN" w:bidi="ar-SA"/>
                    </w:rPr>
                  </w:pPr>
                  <w:r>
                    <w:rPr>
                      <w:rFonts w:hint="default" w:ascii="Times New Roman" w:hAnsi="Times New Roman" w:cs="Times New Roman"/>
                      <w:color w:val="000000"/>
                      <w:sz w:val="21"/>
                      <w:szCs w:val="21"/>
                    </w:rPr>
                    <w:t>10万个</w:t>
                  </w:r>
                </w:p>
              </w:tc>
              <w:tc>
                <w:tcPr>
                  <w:tcW w:w="882"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color w:val="0000FF"/>
                      <w:kern w:val="0"/>
                      <w:sz w:val="21"/>
                      <w:szCs w:val="21"/>
                      <w:lang w:val="en-US" w:eastAsia="zh-CN" w:bidi="ar-SA"/>
                    </w:rPr>
                  </w:pPr>
                  <w:r>
                    <w:rPr>
                      <w:rFonts w:hint="default" w:ascii="Times New Roman" w:hAnsi="Times New Roman" w:cs="Times New Roman"/>
                      <w:color w:val="000000"/>
                      <w:sz w:val="21"/>
                      <w:szCs w:val="21"/>
                    </w:rPr>
                    <w:t>10万个</w:t>
                  </w:r>
                </w:p>
              </w:tc>
              <w:tc>
                <w:tcPr>
                  <w:tcW w:w="8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noWrap w:val="0"/>
                  <w:vAlign w:val="center"/>
                </w:tcPr>
                <w:p>
                  <w:pPr>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4</w:t>
                  </w:r>
                </w:p>
              </w:tc>
              <w:tc>
                <w:tcPr>
                  <w:tcW w:w="716"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color w:val="000000"/>
                      <w:sz w:val="21"/>
                      <w:szCs w:val="21"/>
                    </w:rPr>
                    <w:t>PE膜</w:t>
                  </w:r>
                </w:p>
              </w:tc>
              <w:tc>
                <w:tcPr>
                  <w:tcW w:w="1218"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color w:val="000000"/>
                      <w:sz w:val="21"/>
                      <w:szCs w:val="21"/>
                    </w:rPr>
                    <w:t>聚乙烯</w:t>
                  </w:r>
                </w:p>
              </w:tc>
              <w:tc>
                <w:tcPr>
                  <w:tcW w:w="874"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color w:val="0000FF"/>
                      <w:kern w:val="0"/>
                      <w:sz w:val="21"/>
                      <w:szCs w:val="21"/>
                      <w:lang w:val="en-US" w:eastAsia="zh-CN" w:bidi="ar-SA"/>
                    </w:rPr>
                  </w:pPr>
                  <w:r>
                    <w:rPr>
                      <w:rFonts w:hint="default" w:ascii="Times New Roman" w:hAnsi="Times New Roman" w:cs="Times New Roman"/>
                      <w:color w:val="000000"/>
                      <w:sz w:val="21"/>
                      <w:szCs w:val="21"/>
                    </w:rPr>
                    <w:t>100吨</w:t>
                  </w:r>
                </w:p>
              </w:tc>
              <w:tc>
                <w:tcPr>
                  <w:tcW w:w="882"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color w:val="0000FF"/>
                      <w:kern w:val="0"/>
                      <w:sz w:val="21"/>
                      <w:szCs w:val="21"/>
                      <w:lang w:val="en-US" w:eastAsia="zh-CN" w:bidi="ar-SA"/>
                    </w:rPr>
                  </w:pPr>
                  <w:r>
                    <w:rPr>
                      <w:rFonts w:hint="default" w:ascii="Times New Roman" w:hAnsi="Times New Roman" w:cs="Times New Roman"/>
                      <w:color w:val="000000"/>
                      <w:sz w:val="21"/>
                      <w:szCs w:val="21"/>
                    </w:rPr>
                    <w:t>100吨</w:t>
                  </w:r>
                </w:p>
              </w:tc>
              <w:tc>
                <w:tcPr>
                  <w:tcW w:w="8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noWrap w:val="0"/>
                  <w:vAlign w:val="center"/>
                </w:tcPr>
                <w:p>
                  <w:pPr>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5</w:t>
                  </w:r>
                </w:p>
              </w:tc>
              <w:tc>
                <w:tcPr>
                  <w:tcW w:w="716"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color w:val="000000"/>
                      <w:sz w:val="21"/>
                      <w:szCs w:val="21"/>
                    </w:rPr>
                    <w:t>边带</w:t>
                  </w:r>
                </w:p>
              </w:tc>
              <w:tc>
                <w:tcPr>
                  <w:tcW w:w="1218"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color w:val="000000"/>
                      <w:sz w:val="21"/>
                      <w:szCs w:val="21"/>
                    </w:rPr>
                    <w:t>化纤和棉</w:t>
                  </w:r>
                </w:p>
              </w:tc>
              <w:tc>
                <w:tcPr>
                  <w:tcW w:w="874"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color w:val="0000FF"/>
                      <w:kern w:val="0"/>
                      <w:sz w:val="21"/>
                      <w:szCs w:val="21"/>
                      <w:lang w:val="en-US" w:eastAsia="zh-CN" w:bidi="ar-SA"/>
                    </w:rPr>
                  </w:pPr>
                  <w:r>
                    <w:rPr>
                      <w:rFonts w:hint="default" w:ascii="Times New Roman" w:hAnsi="Times New Roman" w:cs="Times New Roman"/>
                      <w:color w:val="000000"/>
                      <w:sz w:val="21"/>
                      <w:szCs w:val="21"/>
                    </w:rPr>
                    <w:t>20万米</w:t>
                  </w:r>
                </w:p>
              </w:tc>
              <w:tc>
                <w:tcPr>
                  <w:tcW w:w="882" w:type="pct"/>
                  <w:noWrap w:val="0"/>
                  <w:vAlign w:val="center"/>
                </w:tcPr>
                <w:p>
                  <w:pPr>
                    <w:pStyle w:val="10"/>
                    <w:spacing w:line="240" w:lineRule="auto"/>
                    <w:ind w:left="0" w:leftChars="0" w:firstLine="0" w:firstLineChars="0"/>
                    <w:jc w:val="center"/>
                    <w:rPr>
                      <w:rFonts w:hint="default" w:ascii="Times New Roman" w:hAnsi="Times New Roman" w:eastAsia="宋体" w:cs="Times New Roman"/>
                      <w:snapToGrid w:val="0"/>
                      <w:color w:val="0000FF"/>
                      <w:kern w:val="0"/>
                      <w:sz w:val="21"/>
                      <w:szCs w:val="21"/>
                      <w:lang w:val="en-US" w:eastAsia="zh-CN" w:bidi="ar-SA"/>
                    </w:rPr>
                  </w:pPr>
                  <w:r>
                    <w:rPr>
                      <w:rFonts w:hint="default" w:ascii="Times New Roman" w:hAnsi="Times New Roman" w:cs="Times New Roman"/>
                      <w:color w:val="000000"/>
                      <w:sz w:val="21"/>
                      <w:szCs w:val="21"/>
                    </w:rPr>
                    <w:t>20万米</w:t>
                  </w:r>
                </w:p>
              </w:tc>
              <w:tc>
                <w:tcPr>
                  <w:tcW w:w="8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z w:val="21"/>
                      <w:szCs w:val="21"/>
                      <w:lang w:val="en-US" w:eastAsia="zh-CN"/>
                    </w:rPr>
                    <w:t>无变化</w:t>
                  </w:r>
                </w:p>
              </w:tc>
            </w:tr>
          </w:tbl>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5、</w:t>
            </w:r>
            <w:r>
              <w:rPr>
                <w:rFonts w:hint="default" w:ascii="Times New Roman" w:hAnsi="Times New Roman" w:cs="Times New Roman"/>
                <w:b/>
                <w:bCs/>
                <w:sz w:val="24"/>
                <w:szCs w:val="24"/>
                <w:lang w:val="en-US" w:eastAsia="zh-CN"/>
              </w:rPr>
              <w:t>主要产品</w:t>
            </w:r>
          </w:p>
          <w:p>
            <w:pPr>
              <w:keepNext w:val="0"/>
              <w:keepLines w:val="0"/>
              <w:pageBreakBefore w:val="0"/>
              <w:widowControl w:val="0"/>
              <w:kinsoku/>
              <w:wordWrap/>
              <w:overflowPunct/>
              <w:topLinePunct w:val="0"/>
              <w:autoSpaceDE/>
              <w:autoSpaceDN/>
              <w:bidi w:val="0"/>
              <w:adjustRightInd/>
              <w:snapToGrid/>
              <w:spacing w:line="360" w:lineRule="auto"/>
              <w:ind w:firstLine="465"/>
              <w:textAlignment w:val="auto"/>
              <w:outlineLvl w:val="9"/>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lang w:eastAsia="zh-CN"/>
              </w:rPr>
              <w:t>本项目产品方案见表</w:t>
            </w:r>
            <w:r>
              <w:rPr>
                <w:rFonts w:hint="default" w:ascii="Times New Roman" w:hAnsi="Times New Roman" w:eastAsia="宋体" w:cs="Times New Roman"/>
                <w:sz w:val="24"/>
                <w:szCs w:val="24"/>
                <w:lang w:val="en-US" w:eastAsia="zh-CN"/>
              </w:rPr>
              <w:t>2-</w:t>
            </w:r>
            <w:r>
              <w:rPr>
                <w:rFonts w:hint="default" w:ascii="Times New Roman" w:hAnsi="Times New Roman" w:cs="Times New Roman"/>
                <w:sz w:val="24"/>
                <w:szCs w:val="24"/>
                <w:lang w:val="en-US" w:eastAsia="zh-CN"/>
              </w:rPr>
              <w:t>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2-</w:t>
            </w:r>
            <w:r>
              <w:rPr>
                <w:rFonts w:hint="default"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rPr>
              <w:t xml:space="preserve">  建设项目主体工程及主要产品方案</w:t>
            </w:r>
          </w:p>
          <w:tbl>
            <w:tblPr>
              <w:tblStyle w:val="18"/>
              <w:tblW w:w="8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2"/>
              <w:gridCol w:w="1487"/>
              <w:gridCol w:w="1947"/>
              <w:gridCol w:w="1625"/>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73" w:type="pct"/>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产品方案名称</w:t>
                  </w:r>
                </w:p>
              </w:tc>
              <w:tc>
                <w:tcPr>
                  <w:tcW w:w="880" w:type="pct"/>
                  <w:noWrap w:val="0"/>
                  <w:vAlign w:val="center"/>
                </w:tcPr>
                <w:p>
                  <w:pPr>
                    <w:jc w:val="center"/>
                    <w:rPr>
                      <w:rFonts w:hint="default" w:ascii="Times New Roman" w:hAnsi="Times New Roman" w:eastAsia="宋体" w:cs="Times New Roman"/>
                      <w:b/>
                      <w:bCs/>
                      <w:szCs w:val="21"/>
                      <w:lang w:eastAsia="zh-CN"/>
                    </w:rPr>
                  </w:pPr>
                  <w:r>
                    <w:rPr>
                      <w:rFonts w:hint="default" w:ascii="Times New Roman" w:hAnsi="Times New Roman" w:eastAsia="宋体" w:cs="Times New Roman"/>
                      <w:b/>
                      <w:bCs/>
                      <w:szCs w:val="21"/>
                    </w:rPr>
                    <w:t>年运行时数</w:t>
                  </w:r>
                  <w:r>
                    <w:rPr>
                      <w:rFonts w:hint="default" w:ascii="Times New Roman" w:hAnsi="Times New Roman" w:cs="Times New Roman"/>
                      <w:b/>
                      <w:bCs/>
                      <w:szCs w:val="21"/>
                      <w:lang w:eastAsia="zh-CN"/>
                    </w:rPr>
                    <w:t>（</w:t>
                  </w:r>
                  <w:r>
                    <w:rPr>
                      <w:rFonts w:hint="default" w:ascii="Times New Roman" w:hAnsi="Times New Roman" w:cs="Times New Roman"/>
                      <w:b/>
                      <w:bCs/>
                      <w:szCs w:val="21"/>
                      <w:lang w:val="en-US" w:eastAsia="zh-CN"/>
                    </w:rPr>
                    <w:t>h</w:t>
                  </w:r>
                  <w:r>
                    <w:rPr>
                      <w:rFonts w:hint="default" w:ascii="Times New Roman" w:hAnsi="Times New Roman" w:cs="Times New Roman"/>
                      <w:b/>
                      <w:bCs/>
                      <w:szCs w:val="21"/>
                      <w:lang w:eastAsia="zh-CN"/>
                    </w:rPr>
                    <w:t>）</w:t>
                  </w:r>
                </w:p>
              </w:tc>
              <w:tc>
                <w:tcPr>
                  <w:tcW w:w="1152" w:type="pct"/>
                  <w:noWrap w:val="0"/>
                  <w:tcMar>
                    <w:left w:w="28" w:type="dxa"/>
                    <w:right w:w="28" w:type="dxa"/>
                  </w:tcMar>
                  <w:vAlign w:val="center"/>
                </w:tcPr>
                <w:p>
                  <w:pPr>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Cs w:val="21"/>
                      <w:lang w:eastAsia="zh-CN"/>
                    </w:rPr>
                    <w:t>环评设计</w:t>
                  </w:r>
                  <w:r>
                    <w:rPr>
                      <w:rFonts w:hint="default" w:ascii="Times New Roman" w:hAnsi="Times New Roman" w:eastAsia="宋体" w:cs="Times New Roman"/>
                      <w:b/>
                      <w:bCs/>
                      <w:szCs w:val="21"/>
                      <w:lang w:val="en-US" w:eastAsia="zh-CN"/>
                    </w:rPr>
                    <w:t>量（张）</w:t>
                  </w:r>
                </w:p>
              </w:tc>
              <w:tc>
                <w:tcPr>
                  <w:tcW w:w="962" w:type="pct"/>
                  <w:noWrap w:val="0"/>
                  <w:tcMar>
                    <w:left w:w="28" w:type="dxa"/>
                    <w:right w:w="28" w:type="dxa"/>
                  </w:tcMar>
                  <w:vAlign w:val="center"/>
                </w:tcPr>
                <w:p>
                  <w:pPr>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实际建设（张）</w:t>
                  </w:r>
                </w:p>
              </w:tc>
              <w:tc>
                <w:tcPr>
                  <w:tcW w:w="831" w:type="pct"/>
                  <w:noWrap w:val="0"/>
                  <w:tcMar>
                    <w:left w:w="28" w:type="dxa"/>
                    <w:right w:w="28" w:type="dxa"/>
                  </w:tcMar>
                  <w:vAlign w:val="center"/>
                </w:tcPr>
                <w:p>
                  <w:pPr>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73"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海绵床垫</w:t>
                  </w:r>
                </w:p>
              </w:tc>
              <w:tc>
                <w:tcPr>
                  <w:tcW w:w="880" w:type="pct"/>
                  <w:noWrap w:val="0"/>
                  <w:vAlign w:val="center"/>
                </w:tcPr>
                <w:p>
                  <w:pPr>
                    <w:jc w:val="center"/>
                    <w:rPr>
                      <w:rFonts w:hint="default" w:ascii="Times New Roman" w:hAnsi="Times New Roman" w:eastAsia="宋体" w:cs="Times New Roman"/>
                      <w:szCs w:val="21"/>
                      <w:lang w:val="en-US"/>
                    </w:rPr>
                  </w:pPr>
                  <w:r>
                    <w:rPr>
                      <w:rFonts w:hint="default" w:ascii="Times New Roman" w:hAnsi="Times New Roman" w:cs="Times New Roman"/>
                      <w:szCs w:val="21"/>
                      <w:lang w:val="en-US" w:eastAsia="zh-CN"/>
                    </w:rPr>
                    <w:t>2400</w:t>
                  </w:r>
                  <w:r>
                    <w:rPr>
                      <w:rFonts w:hint="default" w:ascii="Times New Roman" w:hAnsi="Times New Roman" w:eastAsia="宋体" w:cs="Times New Roman"/>
                      <w:szCs w:val="21"/>
                      <w:lang w:val="en-US" w:eastAsia="zh-CN"/>
                    </w:rPr>
                    <w:t>h</w:t>
                  </w:r>
                </w:p>
              </w:tc>
              <w:tc>
                <w:tcPr>
                  <w:tcW w:w="1152"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kern w:val="2"/>
                      <w:sz w:val="21"/>
                      <w:szCs w:val="24"/>
                      <w:lang w:val="en-US" w:eastAsia="zh-CN" w:bidi="ar-SA"/>
                    </w:rPr>
                    <w:t>10万</w:t>
                  </w:r>
                </w:p>
              </w:tc>
              <w:tc>
                <w:tcPr>
                  <w:tcW w:w="962"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kern w:val="2"/>
                      <w:sz w:val="21"/>
                      <w:szCs w:val="24"/>
                      <w:lang w:val="en-US" w:eastAsia="zh-CN" w:bidi="ar-SA"/>
                    </w:rPr>
                    <w:t>10万</w:t>
                  </w:r>
                </w:p>
              </w:tc>
              <w:tc>
                <w:tcPr>
                  <w:tcW w:w="831" w:type="pct"/>
                  <w:noWrap w:val="0"/>
                  <w:vAlign w:val="center"/>
                </w:tcPr>
                <w:p>
                  <w:pPr>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z w:val="21"/>
                      <w:szCs w:val="21"/>
                      <w:lang w:val="en-US" w:eastAsia="zh-CN"/>
                    </w:rPr>
                    <w:t>无变化</w:t>
                  </w:r>
                </w:p>
              </w:tc>
            </w:tr>
          </w:tbl>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6、变动情况</w:t>
            </w:r>
          </w:p>
          <w:p>
            <w:pPr>
              <w:spacing w:line="360" w:lineRule="auto"/>
              <w:ind w:firstLine="480" w:firstLineChars="200"/>
              <w:rPr>
                <w:rFonts w:hint="default" w:ascii="Times New Roman" w:hAnsi="Times New Roman" w:eastAsia="宋体" w:cs="Times New Roman"/>
                <w:smallCaps w:val="0"/>
                <w:snapToGrid w:val="0"/>
                <w:color w:val="000000"/>
                <w:kern w:val="0"/>
                <w:sz w:val="24"/>
                <w:lang w:val="en-US" w:eastAsia="zh-CN"/>
              </w:rPr>
            </w:pPr>
            <w:r>
              <w:rPr>
                <w:rFonts w:hint="default" w:ascii="Times New Roman" w:hAnsi="Times New Roman" w:eastAsia="宋体" w:cs="Times New Roman"/>
                <w:smallCaps w:val="0"/>
                <w:snapToGrid w:val="0"/>
                <w:color w:val="000000"/>
                <w:kern w:val="0"/>
                <w:sz w:val="24"/>
                <w:lang w:val="en-US" w:eastAsia="zh-CN"/>
              </w:rPr>
              <w:t>对照“重大变动清单”内容要求，实际建设变动情况见表2-6。</w:t>
            </w:r>
          </w:p>
          <w:p>
            <w:pPr>
              <w:spacing w:line="360" w:lineRule="auto"/>
              <w:ind w:firstLine="480" w:firstLineChars="200"/>
              <w:rPr>
                <w:rFonts w:hint="default" w:ascii="Times New Roman" w:hAnsi="Times New Roman" w:eastAsia="宋体" w:cs="Times New Roman"/>
                <w:smallCaps w:val="0"/>
                <w:snapToGrid w:val="0"/>
                <w:color w:val="000000"/>
                <w:kern w:val="0"/>
                <w:sz w:val="24"/>
                <w:lang w:val="en-US" w:eastAsia="zh-CN"/>
              </w:rPr>
            </w:pPr>
            <w:r>
              <w:rPr>
                <w:rFonts w:hint="eastAsia" w:cs="Times New Roman"/>
                <w:smallCaps w:val="0"/>
                <w:snapToGrid w:val="0"/>
                <w:color w:val="000000"/>
                <w:kern w:val="0"/>
                <w:sz w:val="24"/>
                <w:lang w:val="en-US" w:eastAsia="zh-CN"/>
              </w:rPr>
              <w:t>按照</w:t>
            </w:r>
            <w:r>
              <w:rPr>
                <w:rFonts w:hint="default" w:ascii="Times New Roman" w:hAnsi="Times New Roman" w:eastAsia="宋体" w:cs="Times New Roman"/>
                <w:smallCaps w:val="0"/>
                <w:snapToGrid w:val="0"/>
                <w:color w:val="000000"/>
                <w:kern w:val="0"/>
                <w:sz w:val="24"/>
                <w:lang w:val="en-US" w:eastAsia="zh-CN"/>
              </w:rPr>
              <w:t>《污染影响类建设项目重大变动清单（试行）》（生态环境部环办环评函[2020]688号）进行综合分析，实际建设的性质、规模、地点、生产工艺和环境保护措施均未发生重大变动。</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outlineLvl w:val="9"/>
              <w:rPr>
                <w:rFonts w:hint="default" w:ascii="Times New Roman" w:hAnsi="Times New Roman" w:eastAsia="宋体" w:cs="Times New Roman"/>
                <w:kern w:val="2"/>
                <w:szCs w:val="24"/>
                <w:lang w:val="en-US" w:eastAsia="zh-CN" w:bidi="ar-SA"/>
              </w:rPr>
            </w:pPr>
          </w:p>
        </w:tc>
      </w:tr>
    </w:tbl>
    <w:p>
      <w:pPr>
        <w:spacing w:line="480" w:lineRule="exact"/>
        <w:rPr>
          <w:rFonts w:hint="default" w:ascii="Times New Roman" w:hAnsi="Times New Roman" w:eastAsia="宋体" w:cs="Times New Roman"/>
          <w:sz w:val="30"/>
          <w:szCs w:val="30"/>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4" w:hRule="atLeast"/>
        </w:trPr>
        <w:tc>
          <w:tcPr>
            <w:tcW w:w="14333"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表2-6  实际建设变动情况一览表</w:t>
            </w:r>
          </w:p>
          <w:tbl>
            <w:tblPr>
              <w:tblStyle w:val="19"/>
              <w:tblW w:w="49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121"/>
              <w:gridCol w:w="1712"/>
              <w:gridCol w:w="793"/>
              <w:gridCol w:w="705"/>
              <w:gridCol w:w="1050"/>
              <w:gridCol w:w="1350"/>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项目</w:t>
                  </w:r>
                </w:p>
              </w:tc>
              <w:tc>
                <w:tcPr>
                  <w:tcW w:w="2188"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《污染影响类建设项目重大变动清单（试行）》（生态环境部环办环评函[2020]688号）内容</w:t>
                  </w:r>
                </w:p>
              </w:tc>
              <w:tc>
                <w:tcPr>
                  <w:tcW w:w="611"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变动内容</w:t>
                  </w:r>
                </w:p>
              </w:tc>
              <w:tc>
                <w:tcPr>
                  <w:tcW w:w="910" w:type="pct"/>
                  <w:gridSpan w:val="3"/>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变动属性</w:t>
                  </w:r>
                </w:p>
              </w:tc>
              <w:tc>
                <w:tcPr>
                  <w:tcW w:w="482"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对环境的不利影响</w:t>
                  </w:r>
                </w:p>
              </w:tc>
              <w:tc>
                <w:tcPr>
                  <w:tcW w:w="654"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是否属于重新报批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188"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611"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重大</w:t>
                  </w:r>
                </w:p>
              </w:tc>
              <w:tc>
                <w:tcPr>
                  <w:tcW w:w="2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一般</w:t>
                  </w:r>
                </w:p>
              </w:tc>
              <w:tc>
                <w:tcPr>
                  <w:tcW w:w="37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无变动</w:t>
                  </w:r>
                </w:p>
              </w:tc>
              <w:tc>
                <w:tcPr>
                  <w:tcW w:w="482"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654"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性质</w:t>
                  </w:r>
                </w:p>
              </w:tc>
              <w:tc>
                <w:tcPr>
                  <w:tcW w:w="2188"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1.建设项目开发、使用功能发生变化的。</w:t>
                  </w:r>
                </w:p>
              </w:tc>
              <w:tc>
                <w:tcPr>
                  <w:tcW w:w="611"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2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37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w:t>
                  </w:r>
                </w:p>
              </w:tc>
              <w:tc>
                <w:tcPr>
                  <w:tcW w:w="4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654"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规模</w:t>
                  </w:r>
                </w:p>
              </w:tc>
              <w:tc>
                <w:tcPr>
                  <w:tcW w:w="2188"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 xml:space="preserve">2.生产、处置或储存能力增大30%及以上的。 </w:t>
                  </w:r>
                </w:p>
              </w:tc>
              <w:tc>
                <w:tcPr>
                  <w:tcW w:w="611"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2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37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w:t>
                  </w:r>
                </w:p>
              </w:tc>
              <w:tc>
                <w:tcPr>
                  <w:tcW w:w="4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654"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188"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3.生产、处置或储存能力增大，导致废水第一类污染物排放量增加的。</w:t>
                  </w:r>
                </w:p>
              </w:tc>
              <w:tc>
                <w:tcPr>
                  <w:tcW w:w="611"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2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37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w:t>
                  </w:r>
                </w:p>
              </w:tc>
              <w:tc>
                <w:tcPr>
                  <w:tcW w:w="4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654"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188"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4. 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611"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2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37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w:t>
                  </w:r>
                </w:p>
              </w:tc>
              <w:tc>
                <w:tcPr>
                  <w:tcW w:w="4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654"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地点</w:t>
                  </w:r>
                </w:p>
              </w:tc>
              <w:tc>
                <w:tcPr>
                  <w:tcW w:w="2188"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5. 重新选址；在原厂址附近调整（包括总平面布置变化）导致环境防护距离范围变化且新增敏感点的。</w:t>
                  </w:r>
                </w:p>
              </w:tc>
              <w:tc>
                <w:tcPr>
                  <w:tcW w:w="611"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企业实际地址未变，门牌号码进行了变更</w:t>
                  </w:r>
                </w:p>
              </w:tc>
              <w:tc>
                <w:tcPr>
                  <w:tcW w:w="2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37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w:t>
                  </w:r>
                </w:p>
              </w:tc>
              <w:tc>
                <w:tcPr>
                  <w:tcW w:w="4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654"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生产工艺</w:t>
                  </w:r>
                </w:p>
              </w:tc>
              <w:tc>
                <w:tcPr>
                  <w:tcW w:w="2188"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 xml:space="preserve">6. 新增产品品种或生产工艺（含主要生产装置、设备及配套设施）、主要原辅材料、燃料变化，导致以下情形之一： </w:t>
                  </w:r>
                </w:p>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 xml:space="preserve">(1）新增排放污染物种类的（毒性、挥发性降低的除外）； </w:t>
                  </w:r>
                </w:p>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 xml:space="preserve">(2）位于环境质量不达标区的建设项目相应污染物排放量增加的； </w:t>
                  </w:r>
                </w:p>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 xml:space="preserve">(3）废水第一类污染物排放量增加的； </w:t>
                  </w:r>
                </w:p>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 xml:space="preserve">(4）其他污染物排放量增加10%及以上的。 </w:t>
                  </w:r>
                </w:p>
              </w:tc>
              <w:tc>
                <w:tcPr>
                  <w:tcW w:w="611"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2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37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w:t>
                  </w:r>
                </w:p>
              </w:tc>
              <w:tc>
                <w:tcPr>
                  <w:tcW w:w="4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654"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188"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7. 物料运输、装卸、贮存方式变化，导致大气污染物无组织排放量增加10%及以上的。</w:t>
                  </w:r>
                </w:p>
              </w:tc>
              <w:tc>
                <w:tcPr>
                  <w:tcW w:w="611"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2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37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w:t>
                  </w:r>
                </w:p>
              </w:tc>
              <w:tc>
                <w:tcPr>
                  <w:tcW w:w="4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654"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环境保护措施</w:t>
                  </w:r>
                </w:p>
              </w:tc>
              <w:tc>
                <w:tcPr>
                  <w:tcW w:w="2188"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8.废气、废水污染防治措施变化，导致第6条中所列情形之一（废气无组织排放改为有组织排放、污染防治措施强化或改进的除外）或大气污染物无组织排放量增加10%及以上的。</w:t>
                  </w:r>
                </w:p>
              </w:tc>
              <w:tc>
                <w:tcPr>
                  <w:tcW w:w="611"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2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37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w:t>
                  </w:r>
                </w:p>
              </w:tc>
              <w:tc>
                <w:tcPr>
                  <w:tcW w:w="4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654"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188"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9.新增废水直接排放口；废水由间接排放改为直接排放；废水直接排放口位置变化，导致不利环境影响加重的。</w:t>
                  </w:r>
                </w:p>
              </w:tc>
              <w:tc>
                <w:tcPr>
                  <w:tcW w:w="611"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2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37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w:t>
                  </w:r>
                </w:p>
              </w:tc>
              <w:tc>
                <w:tcPr>
                  <w:tcW w:w="4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654"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188"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10.新增废气主要排放口（废气无组织排放改为有组织排放的除外）；主要排放口排气筒高度降低10%及以上的。</w:t>
                  </w:r>
                </w:p>
              </w:tc>
              <w:tc>
                <w:tcPr>
                  <w:tcW w:w="611"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2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37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w:t>
                  </w:r>
                </w:p>
              </w:tc>
              <w:tc>
                <w:tcPr>
                  <w:tcW w:w="4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654"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188"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11.噪声、土壤或地下水污染防治措施变化，导致不利环境影响加重的。</w:t>
                  </w:r>
                </w:p>
              </w:tc>
              <w:tc>
                <w:tcPr>
                  <w:tcW w:w="611"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2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37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w:t>
                  </w:r>
                </w:p>
              </w:tc>
              <w:tc>
                <w:tcPr>
                  <w:tcW w:w="4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654"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188"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 xml:space="preserve">12.固体废物利用处置方式由委托外单位利用处置改为自行利用处置的（自行利用处置设施单独开展环境影响评价的除外）；固体废物自行处置方式变化，导致不利环境影响加重的。 </w:t>
                  </w:r>
                </w:p>
              </w:tc>
              <w:tc>
                <w:tcPr>
                  <w:tcW w:w="611"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2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37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w:t>
                  </w:r>
                </w:p>
              </w:tc>
              <w:tc>
                <w:tcPr>
                  <w:tcW w:w="4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654"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2"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188"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13.事故废水暂存能力或拦截设施变化，导致环境风险防范能力弱化或降低的。</w:t>
                  </w:r>
                </w:p>
              </w:tc>
              <w:tc>
                <w:tcPr>
                  <w:tcW w:w="611"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2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25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37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w:t>
                  </w:r>
                </w:p>
              </w:tc>
              <w:tc>
                <w:tcPr>
                  <w:tcW w:w="4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无</w:t>
                  </w:r>
                </w:p>
              </w:tc>
              <w:tc>
                <w:tcPr>
                  <w:tcW w:w="654"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否</w:t>
                  </w:r>
                </w:p>
              </w:tc>
            </w:tr>
          </w:tbl>
          <w:p>
            <w:pPr>
              <w:bidi w:val="0"/>
              <w:spacing w:line="360" w:lineRule="auto"/>
              <w:ind w:firstLine="480" w:firstLineChars="200"/>
              <w:rPr>
                <w:rFonts w:hint="default" w:ascii="Times New Roman" w:hAnsi="Times New Roman" w:eastAsia="宋体" w:cs="Times New Roman"/>
                <w:sz w:val="24"/>
                <w:vertAlign w:val="baseline"/>
              </w:rPr>
            </w:pPr>
          </w:p>
        </w:tc>
      </w:tr>
    </w:tbl>
    <w:p>
      <w:pPr>
        <w:pStyle w:val="2"/>
        <w:rPr>
          <w:rFonts w:hint="default" w:ascii="Times New Roman" w:hAnsi="Times New Roman" w:cs="Times New Roma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bidi w:val="0"/>
        <w:spacing w:before="0" w:beforeAutospacing="0" w:after="0" w:afterLines="0" w:afterAutospacing="0" w:line="360" w:lineRule="auto"/>
        <w:ind w:firstLine="0" w:firstLineChars="0"/>
        <w:jc w:val="both"/>
        <w:outlineLvl w:val="0"/>
        <w:rPr>
          <w:rFonts w:hint="default" w:ascii="Times New Roman" w:hAnsi="Times New Roman" w:eastAsia="宋体" w:cs="Times New Roman"/>
          <w:sz w:val="28"/>
          <w:szCs w:val="24"/>
          <w:lang w:val="zh-CN" w:eastAsia="zh-CN" w:bidi="ar-SA"/>
        </w:rPr>
      </w:pPr>
      <w:bookmarkStart w:id="4" w:name="_Toc523"/>
      <w:r>
        <w:rPr>
          <w:rFonts w:hint="default" w:ascii="Times New Roman" w:hAnsi="Times New Roman" w:eastAsia="宋体" w:cs="Times New Roman"/>
          <w:sz w:val="28"/>
          <w:szCs w:val="24"/>
          <w:lang w:val="zh-CN" w:eastAsia="zh-CN" w:bidi="ar-SA"/>
        </w:rPr>
        <w:t>表三、主要生产工艺及污染物产出流程（附示意图）</w:t>
      </w:r>
      <w:bookmarkEnd w:id="4"/>
    </w:p>
    <w:tbl>
      <w:tblPr>
        <w:tblStyle w:val="18"/>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8" w:hRule="atLeast"/>
        </w:trPr>
        <w:tc>
          <w:tcPr>
            <w:tcW w:w="8789" w:type="dxa"/>
          </w:tcPr>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年产 </w:t>
            </w:r>
            <w:r>
              <w:rPr>
                <w:rFonts w:hint="default" w:ascii="Times New Roman" w:hAnsi="Times New Roman" w:cs="Times New Roman"/>
                <w:kern w:val="2"/>
                <w:sz w:val="24"/>
                <w:szCs w:val="24"/>
                <w:lang w:val="en-US" w:eastAsia="zh-CN" w:bidi="ar-SA"/>
              </w:rPr>
              <w:t>10</w:t>
            </w:r>
            <w:r>
              <w:rPr>
                <w:rFonts w:hint="default" w:ascii="Times New Roman" w:hAnsi="Times New Roman" w:eastAsia="宋体" w:cs="Times New Roman"/>
                <w:kern w:val="2"/>
                <w:sz w:val="24"/>
                <w:szCs w:val="24"/>
                <w:lang w:val="en-US" w:eastAsia="zh-CN" w:bidi="ar-SA"/>
              </w:rPr>
              <w:t>万</w:t>
            </w:r>
            <w:r>
              <w:rPr>
                <w:rFonts w:hint="default" w:ascii="Times New Roman" w:hAnsi="Times New Roman" w:cs="Times New Roman"/>
                <w:kern w:val="2"/>
                <w:sz w:val="24"/>
                <w:szCs w:val="24"/>
                <w:lang w:val="en-US" w:eastAsia="zh-CN" w:bidi="ar-SA"/>
              </w:rPr>
              <w:t>张海绵床垫</w:t>
            </w:r>
            <w:r>
              <w:rPr>
                <w:rFonts w:hint="default" w:ascii="Times New Roman" w:hAnsi="Times New Roman" w:eastAsia="宋体" w:cs="Times New Roman"/>
                <w:kern w:val="2"/>
                <w:sz w:val="24"/>
                <w:szCs w:val="24"/>
                <w:lang w:val="en-US" w:eastAsia="zh-CN" w:bidi="ar-SA"/>
              </w:rPr>
              <w:t>项目涉及</w:t>
            </w:r>
            <w:r>
              <w:rPr>
                <w:rFonts w:hint="default" w:ascii="Times New Roman" w:hAnsi="Times New Roman" w:cs="Times New Roman"/>
                <w:kern w:val="2"/>
                <w:sz w:val="24"/>
                <w:szCs w:val="24"/>
                <w:lang w:val="en-US" w:eastAsia="zh-CN" w:bidi="ar-SA"/>
              </w:rPr>
              <w:t>裁切、绗缝、围边、检验、包装等</w:t>
            </w:r>
            <w:r>
              <w:rPr>
                <w:rFonts w:hint="default" w:ascii="Times New Roman" w:hAnsi="Times New Roman" w:eastAsia="宋体" w:cs="Times New Roman"/>
                <w:kern w:val="2"/>
                <w:sz w:val="24"/>
                <w:szCs w:val="24"/>
                <w:lang w:val="en-US" w:eastAsia="zh-CN" w:bidi="ar-SA"/>
              </w:rPr>
              <w:t>工艺，生产工艺流程及产污环节同环评，工艺流程及相应产污环节分析如下。</w:t>
            </w:r>
          </w:p>
          <w:tbl>
            <w:tblPr>
              <w:tblStyle w:val="19"/>
              <w:tblW w:w="85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73" w:type="dxa"/>
                </w:tcPr>
                <w:p>
                  <w:pPr>
                    <w:jc w:val="center"/>
                    <w:rPr>
                      <w:rFonts w:hint="default" w:ascii="Times New Roman" w:hAnsi="Times New Roman" w:eastAsia="宋体" w:cs="Times New Roman"/>
                      <w:lang w:eastAsia="zh-CN"/>
                    </w:rPr>
                  </w:pPr>
                  <w:r>
                    <w:rPr>
                      <w:rFonts w:hint="default" w:ascii="Times New Roman" w:hAnsi="Times New Roman" w:cs="Times New Roman"/>
                    </w:rPr>
                    <w:object>
                      <v:shape id="_x0000_i1025" o:spt="75" type="#_x0000_t75" style="height:238.2pt;width:412.5pt;" o:ole="t" filled="f" o:preferrelative="t" stroked="f" coordsize="21600,21600">
                        <v:path/>
                        <v:fill on="f" focussize="0,0"/>
                        <v:stroke on="f"/>
                        <v:imagedata r:id="rId10" o:title=""/>
                        <o:lock v:ext="edit" aspectratio="t"/>
                        <w10:wrap type="none"/>
                        <w10:anchorlock/>
                      </v:shape>
                      <o:OLEObject Type="Embed" ProgID="Visio.Drawing.15" ShapeID="_x0000_i1025" DrawAspect="Content" ObjectID="_1468075725" r:id="rId9">
                        <o:LockedField>false</o:LockedField>
                      </o:OLEObject>
                    </w:object>
                  </w:r>
                </w:p>
                <w:p>
                  <w:pPr>
                    <w:pStyle w:val="2"/>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宋体" w:cs="Times New Roman"/>
                    </w:rPr>
                  </w:pPr>
                  <w:r>
                    <w:rPr>
                      <w:rFonts w:hint="default" w:ascii="Times New Roman" w:hAnsi="Times New Roman" w:eastAsia="宋体" w:cs="Times New Roman"/>
                      <w:b/>
                      <w:bCs/>
                      <w:smallCaps w:val="0"/>
                      <w:sz w:val="24"/>
                    </w:rPr>
                    <w:t>图</w:t>
                  </w:r>
                  <w:r>
                    <w:rPr>
                      <w:rFonts w:hint="default" w:ascii="Times New Roman" w:hAnsi="Times New Roman" w:eastAsia="宋体" w:cs="Times New Roman"/>
                      <w:b/>
                      <w:bCs/>
                      <w:smallCaps w:val="0"/>
                      <w:sz w:val="24"/>
                      <w:lang w:val="en-US" w:eastAsia="zh-CN"/>
                    </w:rPr>
                    <w:t>3-1  全棉染色</w:t>
                  </w:r>
                  <w:r>
                    <w:rPr>
                      <w:rFonts w:hint="default" w:ascii="Times New Roman" w:hAnsi="Times New Roman" w:eastAsia="宋体" w:cs="Times New Roman"/>
                      <w:b/>
                      <w:bCs/>
                      <w:smallCaps w:val="0"/>
                      <w:sz w:val="24"/>
                    </w:rPr>
                    <w:t>工艺</w:t>
                  </w:r>
                  <w:r>
                    <w:rPr>
                      <w:rFonts w:hint="default" w:ascii="Times New Roman" w:hAnsi="Times New Roman" w:eastAsia="宋体" w:cs="Times New Roman"/>
                      <w:b/>
                      <w:bCs/>
                      <w:smallCaps w:val="0"/>
                      <w:sz w:val="24"/>
                      <w:lang w:val="en-US" w:eastAsia="zh-CN"/>
                    </w:rPr>
                    <w:t>及产污环节</w:t>
                  </w:r>
                  <w:r>
                    <w:rPr>
                      <w:rFonts w:hint="default" w:ascii="Times New Roman" w:hAnsi="Times New Roman" w:eastAsia="宋体" w:cs="Times New Roman"/>
                      <w:b/>
                      <w:bCs/>
                      <w:smallCaps w:val="0"/>
                      <w:sz w:val="24"/>
                    </w:rPr>
                    <w:t>流程图</w:t>
                  </w:r>
                </w:p>
              </w:tc>
            </w:tr>
          </w:tbl>
          <w:p>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smallCaps w:val="0"/>
                <w:sz w:val="24"/>
              </w:rPr>
            </w:pPr>
            <w:r>
              <w:rPr>
                <w:rFonts w:hint="default" w:ascii="Times New Roman" w:hAnsi="Times New Roman" w:eastAsia="宋体" w:cs="Times New Roman"/>
                <w:b/>
                <w:bCs/>
                <w:smallCaps w:val="0"/>
                <w:sz w:val="24"/>
              </w:rPr>
              <w:t>工艺</w:t>
            </w:r>
            <w:r>
              <w:rPr>
                <w:rFonts w:hint="default" w:ascii="Times New Roman" w:hAnsi="Times New Roman" w:cs="Times New Roman"/>
                <w:b/>
                <w:bCs/>
                <w:smallCaps w:val="0"/>
                <w:sz w:val="24"/>
                <w:lang w:val="en-US" w:eastAsia="zh-CN"/>
              </w:rPr>
              <w:t>流程</w:t>
            </w:r>
            <w:r>
              <w:rPr>
                <w:rFonts w:hint="default" w:ascii="Times New Roman" w:hAnsi="Times New Roman" w:eastAsia="宋体" w:cs="Times New Roman"/>
                <w:b/>
                <w:bCs/>
                <w:smallCaps w:val="0"/>
                <w:sz w:val="24"/>
              </w:rPr>
              <w:t>简述：</w:t>
            </w:r>
          </w:p>
          <w:p>
            <w:pPr>
              <w:tabs>
                <w:tab w:val="left" w:pos="3560"/>
              </w:tabs>
              <w:spacing w:line="360" w:lineRule="auto"/>
              <w:ind w:firstLine="480" w:firstLineChars="200"/>
              <w:rPr>
                <w:rFonts w:hint="default" w:ascii="Times New Roman" w:hAnsi="Times New Roman" w:eastAsia="宋体" w:cs="Times New Roman"/>
                <w:bCs/>
                <w:color w:val="000000"/>
                <w:sz w:val="24"/>
                <w:lang w:eastAsia="zh-CN"/>
              </w:rPr>
            </w:pPr>
            <w:r>
              <w:rPr>
                <w:rFonts w:hint="default" w:ascii="Times New Roman" w:hAnsi="Times New Roman" w:cs="Times New Roman"/>
                <w:bCs/>
                <w:color w:val="000000"/>
                <w:sz w:val="24"/>
              </w:rPr>
              <w:t>1、外购海绵（块状，卷状）</w:t>
            </w:r>
            <w:r>
              <w:rPr>
                <w:rFonts w:hint="default" w:ascii="Times New Roman" w:hAnsi="Times New Roman" w:cs="Times New Roman"/>
                <w:bCs/>
                <w:color w:val="000000"/>
                <w:sz w:val="24"/>
                <w:lang w:eastAsia="zh-CN"/>
              </w:rPr>
              <w:t>。</w:t>
            </w:r>
          </w:p>
          <w:p>
            <w:pPr>
              <w:tabs>
                <w:tab w:val="left" w:pos="3560"/>
              </w:tabs>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2、裁切：块状海绵经过圆盘裁切机把块状海绵裁，切成不同厚度的片状；数控裁切机把块状海绵裁切成不同形状的片状海绵小块；根据不同客户需求把片状海绵经过压花机压成其它纹路的片状棉；冲孔机：片状海绵冲床冲孔透气。组合切割：不同海绵通过镶嵌一起后使用裁边机修整。</w:t>
            </w:r>
          </w:p>
          <w:p>
            <w:pPr>
              <w:tabs>
                <w:tab w:val="left" w:pos="3560"/>
              </w:tabs>
              <w:spacing w:line="360" w:lineRule="auto"/>
              <w:ind w:firstLine="480" w:firstLineChars="200"/>
              <w:rPr>
                <w:rFonts w:hint="default" w:ascii="Times New Roman" w:hAnsi="Times New Roman" w:cs="Times New Roman"/>
                <w:b/>
                <w:color w:val="000000"/>
                <w:sz w:val="24"/>
              </w:rPr>
            </w:pPr>
            <w:r>
              <w:rPr>
                <w:rFonts w:hint="default" w:ascii="Times New Roman" w:hAnsi="Times New Roman" w:cs="Times New Roman"/>
                <w:bCs/>
                <w:color w:val="000000"/>
                <w:sz w:val="24"/>
              </w:rPr>
              <w:t>3、绗缝：利用裥棉机把布料和卷状海绵通过绗缝机用线连接一体。裁剪：绗缝的半成品或者布料通过人工裁剪不同尺寸的半成品。</w:t>
            </w:r>
          </w:p>
          <w:p>
            <w:pPr>
              <w:tabs>
                <w:tab w:val="left" w:pos="3560"/>
              </w:tabs>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4、裁剪完的布料加工进入下一道工序组合；经过车位车缝完的产品与海绵套在一起。</w:t>
            </w:r>
          </w:p>
          <w:p>
            <w:pPr>
              <w:tabs>
                <w:tab w:val="left" w:pos="3560"/>
              </w:tabs>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5、围边：通过（围边机）加工把粘合完的产品用边带把侧边与面缝合一起。</w:t>
            </w:r>
          </w:p>
          <w:p>
            <w:pPr>
              <w:pStyle w:val="2"/>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eastAsia="宋体" w:cs="Times New Roman"/>
                <w:lang w:val="en-US" w:eastAsia="zh-CN"/>
              </w:rPr>
            </w:pPr>
            <w:r>
              <w:rPr>
                <w:rFonts w:hint="default" w:ascii="Times New Roman" w:hAnsi="Times New Roman" w:cs="Times New Roman"/>
                <w:bCs/>
                <w:color w:val="000000"/>
                <w:sz w:val="24"/>
              </w:rPr>
              <w:t>6、检验、包装：通过肉眼查看每个产品的质量挑出有瑕疵的产品，合格产品进入全自动压缩卷包流水线，把块状的床垫用PE膜包装压机缩机挤压排空空压成薄片，再把薄片卷成卷状装入纸箱封存入库</w:t>
            </w:r>
            <w:r>
              <w:rPr>
                <w:rFonts w:hint="default" w:ascii="Times New Roman" w:hAnsi="Times New Roman" w:eastAsia="宋体" w:cs="Times New Roman"/>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smallCaps w:val="0"/>
                <w:sz w:val="24"/>
                <w:lang w:val="en-US" w:eastAsia="zh-CN"/>
              </w:rPr>
            </w:pPr>
            <w:r>
              <w:rPr>
                <w:rFonts w:hint="default" w:ascii="Times New Roman" w:hAnsi="Times New Roman" w:eastAsia="宋体" w:cs="Times New Roman"/>
                <w:b/>
                <w:bCs/>
                <w:smallCaps w:val="0"/>
                <w:sz w:val="24"/>
                <w:lang w:val="en-US" w:eastAsia="zh-CN"/>
              </w:rPr>
              <w:t>其他产污环节分析：</w:t>
            </w:r>
          </w:p>
          <w:p>
            <w:pPr>
              <w:pStyle w:val="2"/>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smallCaps w:val="0"/>
                <w:sz w:val="24"/>
                <w:lang w:val="en-US" w:eastAsia="zh-CN"/>
              </w:rPr>
            </w:pPr>
            <w:r>
              <w:rPr>
                <w:rFonts w:hint="default" w:ascii="Times New Roman" w:hAnsi="Times New Roman" w:eastAsia="宋体" w:cs="Times New Roman"/>
                <w:smallCaps w:val="0"/>
                <w:sz w:val="24"/>
                <w:lang w:val="en-US" w:eastAsia="zh-CN"/>
              </w:rPr>
              <w:t>本项目还产生的污染物有：包装废物和生活垃圾。</w:t>
            </w:r>
          </w:p>
          <w:p>
            <w:pPr>
              <w:keepNext w:val="0"/>
              <w:keepLines w:val="0"/>
              <w:pageBreakBefore w:val="0"/>
              <w:widowControl w:val="0"/>
              <w:numPr>
                <w:ilvl w:val="0"/>
                <w:numId w:val="0"/>
              </w:numPr>
              <w:tabs>
                <w:tab w:val="left" w:pos="3570"/>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mallCaps w:val="0"/>
                <w:sz w:val="24"/>
                <w:lang w:val="en-US" w:eastAsia="zh-CN"/>
              </w:rPr>
            </w:pPr>
          </w:p>
          <w:p>
            <w:pPr>
              <w:pStyle w:val="2"/>
              <w:rPr>
                <w:rFonts w:hint="default" w:ascii="Times New Roman" w:hAnsi="Times New Roman" w:eastAsia="宋体" w:cs="Times New Roman"/>
                <w:snapToGrid w:val="0"/>
                <w:kern w:val="0"/>
                <w:sz w:val="24"/>
              </w:rPr>
            </w:pPr>
          </w:p>
        </w:tc>
      </w:tr>
    </w:tbl>
    <w:p>
      <w:pPr>
        <w:spacing w:line="480" w:lineRule="exact"/>
        <w:rPr>
          <w:rFonts w:hint="default" w:ascii="Times New Roman" w:hAnsi="Times New Roman" w:eastAsia="宋体" w:cs="Times New Roman"/>
          <w:sz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bidi w:val="0"/>
        <w:spacing w:before="0" w:beforeAutospacing="0" w:after="0" w:afterLines="0" w:afterAutospacing="0" w:line="360" w:lineRule="auto"/>
        <w:ind w:firstLine="0" w:firstLineChars="0"/>
        <w:jc w:val="both"/>
        <w:outlineLvl w:val="0"/>
        <w:rPr>
          <w:rFonts w:hint="default" w:ascii="Times New Roman" w:hAnsi="Times New Roman" w:eastAsia="宋体" w:cs="Times New Roman"/>
          <w:sz w:val="28"/>
          <w:szCs w:val="24"/>
          <w:lang w:val="zh-CN" w:bidi="ar-SA"/>
        </w:rPr>
      </w:pPr>
      <w:bookmarkStart w:id="5" w:name="_Toc21509"/>
      <w:r>
        <w:rPr>
          <w:rFonts w:hint="default" w:ascii="Times New Roman" w:hAnsi="Times New Roman" w:eastAsia="宋体" w:cs="Times New Roman"/>
          <w:sz w:val="28"/>
          <w:szCs w:val="24"/>
          <w:lang w:val="zh-CN" w:bidi="ar-SA"/>
        </w:rPr>
        <w:t>表四、《报告表》主要结论、建议及审批部门审批决定</w:t>
      </w:r>
      <w:bookmarkEnd w:id="5"/>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1" w:hRule="atLeast"/>
          <w:jc w:val="center"/>
        </w:trPr>
        <w:tc>
          <w:tcPr>
            <w:tcW w:w="8522" w:type="dxa"/>
          </w:tcPr>
          <w:p>
            <w:pPr>
              <w:keepNext w:val="0"/>
              <w:keepLines w:val="0"/>
              <w:pageBreakBefore w:val="0"/>
              <w:widowControl w:val="0"/>
              <w:numPr>
                <w:ilvl w:val="0"/>
                <w:numId w:val="2"/>
              </w:numPr>
              <w:kinsoku/>
              <w:wordWrap/>
              <w:overflowPunct/>
              <w:topLinePunct w:val="0"/>
              <w:bidi w:val="0"/>
              <w:snapToGrid/>
              <w:spacing w:before="62" w:beforeLines="20" w:line="360" w:lineRule="auto"/>
              <w:ind w:firstLine="482" w:firstLineChars="200"/>
              <w:textAlignment w:val="auto"/>
              <w:outlineLvl w:val="9"/>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《报告表》主要结论</w:t>
            </w:r>
          </w:p>
          <w:p>
            <w:pPr>
              <w:pStyle w:val="33"/>
              <w:adjustRightInd/>
              <w:spacing w:line="360" w:lineRule="auto"/>
              <w:ind w:firstLine="480" w:firstLineChars="200"/>
              <w:textAlignment w:val="auto"/>
              <w:rPr>
                <w:rFonts w:hint="default" w:ascii="Times New Roman" w:hAnsi="Times New Roman" w:eastAsia="宋体" w:cs="Times New Roman"/>
                <w:smallCaps w:val="0"/>
                <w:snapToGrid w:val="0"/>
                <w:kern w:val="0"/>
                <w:lang w:val="zh-CN" w:eastAsia="zh-CN"/>
              </w:rPr>
            </w:pPr>
            <w:r>
              <w:rPr>
                <w:rFonts w:hint="default" w:ascii="Times New Roman" w:hAnsi="Times New Roman" w:eastAsia="宋体" w:cs="Times New Roman"/>
                <w:smallCaps w:val="0"/>
                <w:snapToGrid w:val="0"/>
                <w:kern w:val="0"/>
                <w:lang w:eastAsia="zh-CN"/>
              </w:rPr>
              <w:t>科福兴新材料科技（江苏）有限公司年产10万张海绵床垫项目</w:t>
            </w:r>
            <w:r>
              <w:rPr>
                <w:rFonts w:hint="default" w:ascii="Times New Roman" w:hAnsi="Times New Roman" w:eastAsia="宋体" w:cs="Times New Roman"/>
                <w:smallCaps w:val="0"/>
                <w:snapToGrid w:val="0"/>
                <w:kern w:val="0"/>
              </w:rPr>
              <w:t>符合产业政策</w:t>
            </w:r>
            <w:r>
              <w:rPr>
                <w:rFonts w:hint="default" w:ascii="Times New Roman" w:hAnsi="Times New Roman" w:eastAsia="宋体" w:cs="Times New Roman"/>
                <w:smallCaps w:val="0"/>
                <w:snapToGrid w:val="0"/>
                <w:kern w:val="0"/>
                <w:lang w:eastAsia="zh-CN"/>
              </w:rPr>
              <w:t>、</w:t>
            </w:r>
            <w:r>
              <w:rPr>
                <w:rFonts w:hint="default" w:ascii="Times New Roman" w:hAnsi="Times New Roman" w:cs="Times New Roman"/>
                <w:bCs/>
                <w:color w:val="000000"/>
                <w:sz w:val="24"/>
              </w:rPr>
              <w:t>与规划相符、选址合理。通过对项目的工程分析认为，该项目生产过程中产生的工业“三废”较少，所采取的防治措施可行、有效。因此，在落实本报告提出的污染防治措施后，在运营期内对周围环境的影响可控制在允许范围内，本项目从环保角度考虑是可行的</w:t>
            </w:r>
            <w:r>
              <w:rPr>
                <w:rFonts w:hint="default" w:ascii="Times New Roman" w:hAnsi="Times New Roman" w:eastAsia="宋体" w:cs="Times New Roman"/>
                <w:smallCaps w:val="0"/>
                <w:snapToGrid w:val="0"/>
                <w:kern w:val="0"/>
              </w:rPr>
              <w:t>。</w:t>
            </w:r>
          </w:p>
          <w:p>
            <w:pPr>
              <w:keepNext w:val="0"/>
              <w:keepLines w:val="0"/>
              <w:pageBreakBefore w:val="0"/>
              <w:widowControl w:val="0"/>
              <w:numPr>
                <w:ilvl w:val="0"/>
                <w:numId w:val="2"/>
              </w:numPr>
              <w:kinsoku/>
              <w:wordWrap/>
              <w:overflowPunct/>
              <w:topLinePunct w:val="0"/>
              <w:bidi w:val="0"/>
              <w:snapToGrid/>
              <w:spacing w:before="62" w:beforeLines="20" w:line="360" w:lineRule="auto"/>
              <w:ind w:firstLine="482" w:firstLineChars="200"/>
              <w:textAlignment w:val="auto"/>
              <w:outlineLvl w:val="9"/>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《报告表》建议</w:t>
            </w:r>
          </w:p>
          <w:p>
            <w:pPr>
              <w:keepNext w:val="0"/>
              <w:keepLines w:val="0"/>
              <w:pageBreakBefore w:val="0"/>
              <w:widowControl w:val="0"/>
              <w:numPr>
                <w:ilvl w:val="0"/>
                <w:numId w:val="0"/>
              </w:numPr>
              <w:kinsoku/>
              <w:wordWrap/>
              <w:overflowPunct/>
              <w:topLinePunct w:val="0"/>
              <w:bidi w:val="0"/>
              <w:snapToGrid/>
              <w:spacing w:before="62" w:beforeLines="20" w:line="360" w:lineRule="auto"/>
              <w:ind w:firstLine="240" w:firstLineChars="100"/>
              <w:textAlignment w:val="auto"/>
              <w:outlineLvl w:val="9"/>
              <w:rPr>
                <w:rFonts w:hint="default" w:ascii="Times New Roman" w:hAnsi="Times New Roman" w:cs="Times New Roman"/>
                <w:smallCaps w:val="0"/>
                <w:snapToGrid w:val="0"/>
                <w:kern w:val="0"/>
                <w:sz w:val="24"/>
                <w:lang w:eastAsia="zh-CN"/>
              </w:rPr>
            </w:pPr>
            <w:r>
              <w:rPr>
                <w:rFonts w:hint="default" w:ascii="Times New Roman" w:hAnsi="Times New Roman" w:cs="Times New Roman"/>
                <w:smallCaps w:val="0"/>
                <w:snapToGrid w:val="0"/>
                <w:kern w:val="0"/>
                <w:sz w:val="24"/>
                <w:lang w:eastAsia="zh-CN"/>
              </w:rPr>
              <w:t>（</w:t>
            </w:r>
            <w:r>
              <w:rPr>
                <w:rFonts w:hint="default" w:ascii="Times New Roman" w:hAnsi="Times New Roman" w:cs="Times New Roman"/>
                <w:smallCaps w:val="0"/>
                <w:snapToGrid w:val="0"/>
                <w:kern w:val="0"/>
                <w:sz w:val="24"/>
                <w:lang w:val="en-US" w:eastAsia="zh-CN"/>
              </w:rPr>
              <w:t>1</w:t>
            </w:r>
            <w:r>
              <w:rPr>
                <w:rFonts w:hint="default" w:ascii="Times New Roman" w:hAnsi="Times New Roman" w:cs="Times New Roman"/>
                <w:smallCaps w:val="0"/>
                <w:snapToGrid w:val="0"/>
                <w:kern w:val="0"/>
                <w:sz w:val="24"/>
                <w:lang w:eastAsia="zh-CN"/>
              </w:rPr>
              <w:t>）项目必须经“三同时”验收合格后，方可正式投入生产。</w:t>
            </w:r>
          </w:p>
          <w:p>
            <w:pPr>
              <w:keepNext w:val="0"/>
              <w:keepLines w:val="0"/>
              <w:pageBreakBefore w:val="0"/>
              <w:widowControl w:val="0"/>
              <w:numPr>
                <w:ilvl w:val="0"/>
                <w:numId w:val="0"/>
              </w:numPr>
              <w:kinsoku/>
              <w:wordWrap/>
              <w:overflowPunct/>
              <w:topLinePunct w:val="0"/>
              <w:bidi w:val="0"/>
              <w:snapToGrid/>
              <w:spacing w:before="62" w:beforeLines="20" w:line="360" w:lineRule="auto"/>
              <w:ind w:firstLine="240" w:firstLineChars="100"/>
              <w:textAlignment w:val="auto"/>
              <w:outlineLvl w:val="9"/>
              <w:rPr>
                <w:rFonts w:hint="default" w:ascii="Times New Roman" w:hAnsi="Times New Roman" w:cs="Times New Roman"/>
                <w:smallCaps w:val="0"/>
                <w:snapToGrid w:val="0"/>
                <w:kern w:val="0"/>
                <w:sz w:val="24"/>
                <w:lang w:eastAsia="zh-CN"/>
              </w:rPr>
            </w:pPr>
            <w:r>
              <w:rPr>
                <w:rFonts w:hint="default" w:ascii="Times New Roman" w:hAnsi="Times New Roman" w:cs="Times New Roman"/>
                <w:smallCaps w:val="0"/>
                <w:snapToGrid w:val="0"/>
                <w:kern w:val="0"/>
                <w:sz w:val="24"/>
                <w:lang w:eastAsia="zh-CN"/>
              </w:rPr>
              <w:t>（</w:t>
            </w:r>
            <w:r>
              <w:rPr>
                <w:rFonts w:hint="default" w:ascii="Times New Roman" w:hAnsi="Times New Roman" w:cs="Times New Roman"/>
                <w:smallCaps w:val="0"/>
                <w:snapToGrid w:val="0"/>
                <w:kern w:val="0"/>
                <w:sz w:val="24"/>
                <w:lang w:val="en-US" w:eastAsia="zh-CN"/>
              </w:rPr>
              <w:t>2</w:t>
            </w:r>
            <w:r>
              <w:rPr>
                <w:rFonts w:hint="default" w:ascii="Times New Roman" w:hAnsi="Times New Roman" w:cs="Times New Roman"/>
                <w:smallCaps w:val="0"/>
                <w:snapToGrid w:val="0"/>
                <w:kern w:val="0"/>
                <w:sz w:val="24"/>
                <w:lang w:eastAsia="zh-CN"/>
              </w:rPr>
              <w:t>）加强环境监测工作，定期对外排的废水、噪声等进行监测，确保达标排放。</w:t>
            </w:r>
          </w:p>
          <w:p>
            <w:pPr>
              <w:keepNext w:val="0"/>
              <w:keepLines w:val="0"/>
              <w:pageBreakBefore w:val="0"/>
              <w:widowControl w:val="0"/>
              <w:numPr>
                <w:ilvl w:val="0"/>
                <w:numId w:val="0"/>
              </w:numPr>
              <w:kinsoku/>
              <w:wordWrap/>
              <w:overflowPunct/>
              <w:topLinePunct w:val="0"/>
              <w:bidi w:val="0"/>
              <w:snapToGrid/>
              <w:spacing w:before="62" w:beforeLines="20" w:line="360" w:lineRule="auto"/>
              <w:ind w:firstLine="240" w:firstLineChars="100"/>
              <w:textAlignment w:val="auto"/>
              <w:outlineLvl w:val="9"/>
              <w:rPr>
                <w:rFonts w:hint="default" w:ascii="Times New Roman" w:hAnsi="Times New Roman" w:eastAsia="宋体" w:cs="Times New Roman"/>
                <w:smallCaps w:val="0"/>
                <w:snapToGrid w:val="0"/>
                <w:kern w:val="0"/>
                <w:sz w:val="24"/>
                <w:lang w:eastAsia="zh-CN"/>
              </w:rPr>
            </w:pPr>
            <w:r>
              <w:rPr>
                <w:rFonts w:hint="default" w:ascii="Times New Roman" w:hAnsi="Times New Roman" w:cs="Times New Roman"/>
                <w:smallCaps w:val="0"/>
                <w:snapToGrid w:val="0"/>
                <w:kern w:val="0"/>
                <w:sz w:val="24"/>
                <w:lang w:eastAsia="zh-CN"/>
              </w:rPr>
              <w:t>（</w:t>
            </w:r>
            <w:r>
              <w:rPr>
                <w:rFonts w:hint="default" w:ascii="Times New Roman" w:hAnsi="Times New Roman" w:cs="Times New Roman"/>
                <w:smallCaps w:val="0"/>
                <w:snapToGrid w:val="0"/>
                <w:kern w:val="0"/>
                <w:sz w:val="24"/>
                <w:lang w:val="en-US" w:eastAsia="zh-CN"/>
              </w:rPr>
              <w:t>3</w:t>
            </w:r>
            <w:r>
              <w:rPr>
                <w:rFonts w:hint="default" w:ascii="Times New Roman" w:hAnsi="Times New Roman" w:cs="Times New Roman"/>
                <w:smallCaps w:val="0"/>
                <w:snapToGrid w:val="0"/>
                <w:kern w:val="0"/>
                <w:sz w:val="24"/>
                <w:lang w:eastAsia="zh-CN"/>
              </w:rPr>
              <w:t>）加强管理，进一步提高公司员工的环境意识，倡导清洁生产，并加强各种原料的储存、运送管理，制定严格的规章制度。</w:t>
            </w:r>
          </w:p>
          <w:p>
            <w:pPr>
              <w:keepNext w:val="0"/>
              <w:keepLines w:val="0"/>
              <w:pageBreakBefore w:val="0"/>
              <w:widowControl w:val="0"/>
              <w:numPr>
                <w:ilvl w:val="0"/>
                <w:numId w:val="2"/>
              </w:numPr>
              <w:kinsoku/>
              <w:wordWrap/>
              <w:overflowPunct/>
              <w:topLinePunct w:val="0"/>
              <w:bidi w:val="0"/>
              <w:snapToGrid/>
              <w:spacing w:before="62" w:beforeLines="20" w:line="360" w:lineRule="auto"/>
              <w:ind w:firstLine="482" w:firstLineChars="200"/>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zh-CN"/>
              </w:rPr>
              <w:t>审批部门审批决定</w:t>
            </w:r>
          </w:p>
          <w:p>
            <w:pPr>
              <w:pStyle w:val="2"/>
              <w:keepNext w:val="0"/>
              <w:keepLines w:val="0"/>
              <w:pageBreakBefore w:val="0"/>
              <w:widowControl w:val="0"/>
              <w:numPr>
                <w:ilvl w:val="0"/>
                <w:numId w:val="0"/>
              </w:numPr>
              <w:kinsoku/>
              <w:wordWrap/>
              <w:overflowPunct/>
              <w:topLinePunct w:val="0"/>
              <w:bidi w:val="0"/>
              <w:snapToGrid/>
              <w:spacing w:line="360" w:lineRule="auto"/>
              <w:ind w:firstLine="480" w:firstLineChars="200"/>
              <w:textAlignment w:val="auto"/>
              <w:outlineLvl w:val="9"/>
              <w:rPr>
                <w:rFonts w:hint="default" w:ascii="Times New Roman" w:hAnsi="Times New Roman" w:eastAsia="宋体" w:cs="Times New Roman"/>
                <w:b w:val="0"/>
                <w:bCs w:val="0"/>
                <w:snapToGrid w:val="0"/>
                <w:kern w:val="0"/>
                <w:sz w:val="24"/>
                <w:szCs w:val="24"/>
                <w:lang w:val="en-US" w:eastAsia="zh-CN"/>
              </w:rPr>
            </w:pPr>
            <w:r>
              <w:rPr>
                <w:rFonts w:hint="default" w:ascii="Times New Roman" w:hAnsi="Times New Roman" w:eastAsia="宋体" w:cs="Times New Roman"/>
                <w:b w:val="0"/>
                <w:bCs w:val="0"/>
                <w:snapToGrid w:val="0"/>
                <w:kern w:val="0"/>
                <w:sz w:val="24"/>
                <w:szCs w:val="24"/>
                <w:lang w:val="en-US" w:eastAsia="zh-CN"/>
              </w:rPr>
              <w:t>江苏省张家港保税区管理委员会</w:t>
            </w:r>
            <w:r>
              <w:rPr>
                <w:rFonts w:hint="default" w:ascii="Times New Roman" w:hAnsi="Times New Roman" w:cs="Times New Roman"/>
                <w:color w:val="000000"/>
                <w:szCs w:val="21"/>
                <w:highlight w:val="none"/>
                <w:lang w:eastAsia="zh-CN"/>
              </w:rPr>
              <w:t>对该项目的审批意见及落实情况见表</w:t>
            </w:r>
            <w:r>
              <w:rPr>
                <w:rFonts w:hint="default" w:ascii="Times New Roman" w:hAnsi="Times New Roman" w:cs="Times New Roman"/>
                <w:color w:val="000000"/>
                <w:szCs w:val="21"/>
                <w:highlight w:val="none"/>
                <w:lang w:val="en-US" w:eastAsia="zh-CN"/>
              </w:rPr>
              <w:t>4-1</w:t>
            </w:r>
            <w:r>
              <w:rPr>
                <w:rFonts w:hint="default" w:ascii="Times New Roman" w:hAnsi="Times New Roman" w:eastAsia="宋体" w:cs="Times New Roman"/>
                <w:b w:val="0"/>
                <w:bCs w:val="0"/>
                <w:snapToGrid w:val="0"/>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表4-1 环评批复落实情况一览表</w:t>
            </w:r>
          </w:p>
          <w:tbl>
            <w:tblPr>
              <w:tblStyle w:val="19"/>
              <w:tblW w:w="8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6"/>
              <w:gridCol w:w="3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5026" w:type="dxa"/>
                  <w:vAlign w:val="center"/>
                </w:tcPr>
                <w:p>
                  <w:pPr>
                    <w:pStyle w:val="50"/>
                    <w:bidi w:val="0"/>
                    <w:rPr>
                      <w:rFonts w:hint="default" w:ascii="Times New Roman" w:hAnsi="Times New Roman" w:eastAsia="宋体" w:cs="Times New Roman"/>
                      <w:b/>
                      <w:bCs/>
                      <w:snapToGrid w:val="0"/>
                      <w:kern w:val="0"/>
                      <w:sz w:val="21"/>
                      <w:szCs w:val="21"/>
                      <w:lang w:val="en-US" w:eastAsia="zh-CN" w:bidi="ar-SA"/>
                    </w:rPr>
                  </w:pPr>
                  <w:r>
                    <w:rPr>
                      <w:rFonts w:hint="default" w:ascii="Times New Roman" w:hAnsi="Times New Roman" w:eastAsia="宋体" w:cs="Times New Roman"/>
                      <w:b/>
                      <w:bCs/>
                      <w:sz w:val="21"/>
                      <w:szCs w:val="21"/>
                      <w:lang w:eastAsia="zh-CN"/>
                    </w:rPr>
                    <w:t>环评批复要求</w:t>
                  </w:r>
                </w:p>
              </w:tc>
              <w:tc>
                <w:tcPr>
                  <w:tcW w:w="3157" w:type="dxa"/>
                  <w:vAlign w:val="center"/>
                </w:tcPr>
                <w:p>
                  <w:pPr>
                    <w:pStyle w:val="50"/>
                    <w:bidi w:val="0"/>
                    <w:rPr>
                      <w:rFonts w:hint="default" w:ascii="Times New Roman" w:hAnsi="Times New Roman" w:eastAsia="宋体" w:cs="Times New Roman"/>
                      <w:b/>
                      <w:bCs/>
                      <w:snapToGrid w:val="0"/>
                      <w:kern w:val="0"/>
                      <w:sz w:val="21"/>
                      <w:szCs w:val="21"/>
                      <w:lang w:val="en-US" w:eastAsia="zh-CN" w:bidi="ar-SA"/>
                    </w:rPr>
                  </w:pPr>
                  <w:r>
                    <w:rPr>
                      <w:rFonts w:hint="default" w:ascii="Times New Roman" w:hAnsi="Times New Roman" w:eastAsia="宋体" w:cs="Times New Roman"/>
                      <w:b/>
                      <w:bCs/>
                      <w:sz w:val="21"/>
                      <w:szCs w:val="21"/>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6" w:type="dxa"/>
                  <w:vAlign w:val="top"/>
                </w:tcPr>
                <w:p>
                  <w:pPr>
                    <w:pStyle w:val="50"/>
                    <w:bidi w:val="0"/>
                    <w:ind w:firstLine="420" w:firstLineChars="20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经审查，</w:t>
                  </w:r>
                  <w:r>
                    <w:rPr>
                      <w:rFonts w:hint="default" w:ascii="Times New Roman" w:hAnsi="Times New Roman" w:eastAsia="宋体" w:cs="Times New Roman"/>
                      <w:sz w:val="21"/>
                      <w:szCs w:val="21"/>
                      <w:lang w:val="en-US" w:eastAsia="zh-CN"/>
                    </w:rPr>
                    <w:t>江苏省张家港保税区管理委员会</w:t>
                  </w:r>
                  <w:r>
                    <w:rPr>
                      <w:rFonts w:hint="default" w:ascii="Times New Roman" w:hAnsi="Times New Roman" w:eastAsia="宋体" w:cs="Times New Roman"/>
                      <w:sz w:val="21"/>
                      <w:szCs w:val="21"/>
                      <w:lang w:eastAsia="zh-CN"/>
                    </w:rPr>
                    <w:t>对</w:t>
                  </w:r>
                  <w:r>
                    <w:rPr>
                      <w:rFonts w:hint="default" w:ascii="Times New Roman" w:hAnsi="Times New Roman" w:eastAsia="宋体" w:cs="Times New Roman"/>
                      <w:sz w:val="21"/>
                      <w:szCs w:val="21"/>
                      <w:lang w:val="en-US" w:eastAsia="zh-CN"/>
                    </w:rPr>
                    <w:t>科福兴新材料科技（江苏）有限公司</w:t>
                  </w:r>
                  <w:r>
                    <w:rPr>
                      <w:rFonts w:hint="default" w:ascii="Times New Roman" w:hAnsi="Times New Roman" w:eastAsia="宋体" w:cs="Times New Roman"/>
                      <w:sz w:val="21"/>
                      <w:szCs w:val="21"/>
                      <w:lang w:eastAsia="zh-CN"/>
                    </w:rPr>
                    <w:t>委托</w:t>
                  </w:r>
                  <w:r>
                    <w:rPr>
                      <w:rFonts w:hint="default" w:ascii="Times New Roman" w:hAnsi="Times New Roman" w:cs="Times New Roman"/>
                      <w:b w:val="0"/>
                      <w:bCs w:val="0"/>
                      <w:color w:val="000000"/>
                      <w:sz w:val="21"/>
                      <w:szCs w:val="21"/>
                      <w:lang w:val="en-US" w:eastAsia="zh-CN"/>
                    </w:rPr>
                    <w:t>江苏艾弗瑞环保科技有限公司</w:t>
                  </w:r>
                  <w:r>
                    <w:rPr>
                      <w:rFonts w:hint="default" w:ascii="Times New Roman" w:hAnsi="Times New Roman" w:eastAsia="宋体" w:cs="Times New Roman"/>
                      <w:sz w:val="21"/>
                      <w:szCs w:val="21"/>
                      <w:lang w:eastAsia="zh-CN"/>
                    </w:rPr>
                    <w:t>（编制主持人：</w:t>
                  </w:r>
                  <w:r>
                    <w:rPr>
                      <w:rFonts w:hint="default" w:ascii="Times New Roman" w:hAnsi="Times New Roman" w:eastAsia="宋体" w:cs="Times New Roman"/>
                      <w:sz w:val="21"/>
                      <w:szCs w:val="21"/>
                      <w:lang w:val="en-US" w:eastAsia="zh-CN"/>
                    </w:rPr>
                    <w:t>钟树明</w:t>
                  </w:r>
                  <w:r>
                    <w:rPr>
                      <w:rFonts w:hint="default" w:ascii="Times New Roman" w:hAnsi="Times New Roman" w:eastAsia="宋体" w:cs="Times New Roman"/>
                      <w:sz w:val="21"/>
                      <w:szCs w:val="21"/>
                      <w:lang w:eastAsia="zh-CN"/>
                    </w:rPr>
                    <w:t>，信用编号:BH</w:t>
                  </w:r>
                  <w:r>
                    <w:rPr>
                      <w:rFonts w:hint="default" w:ascii="Times New Roman" w:hAnsi="Times New Roman" w:eastAsia="宋体" w:cs="Times New Roman"/>
                      <w:sz w:val="21"/>
                      <w:szCs w:val="21"/>
                      <w:lang w:val="en-US" w:eastAsia="zh-CN"/>
                    </w:rPr>
                    <w:t>010733</w:t>
                  </w:r>
                  <w:r>
                    <w:rPr>
                      <w:rFonts w:hint="default" w:ascii="Times New Roman" w:hAnsi="Times New Roman" w:eastAsia="宋体" w:cs="Times New Roman"/>
                      <w:sz w:val="21"/>
                      <w:szCs w:val="21"/>
                      <w:lang w:eastAsia="zh-CN"/>
                    </w:rPr>
                    <w:t>）编制的《</w:t>
                  </w:r>
                  <w:r>
                    <w:rPr>
                      <w:rFonts w:hint="default" w:ascii="Times New Roman" w:hAnsi="Times New Roman" w:eastAsia="宋体" w:cs="Times New Roman"/>
                      <w:sz w:val="21"/>
                      <w:szCs w:val="21"/>
                      <w:lang w:val="en-US" w:eastAsia="zh-CN"/>
                    </w:rPr>
                    <w:t>科福兴新材料科技（江苏）有限公司年产10万张海绵床垫项目</w:t>
                  </w:r>
                  <w:r>
                    <w:rPr>
                      <w:rFonts w:hint="default" w:ascii="Times New Roman" w:hAnsi="Times New Roman" w:eastAsia="宋体" w:cs="Times New Roman"/>
                      <w:sz w:val="21"/>
                      <w:szCs w:val="21"/>
                      <w:lang w:eastAsia="zh-CN"/>
                    </w:rPr>
                    <w:t>环境影响报告表》(以下简称报告表)提出审批意见如下：</w:t>
                  </w:r>
                </w:p>
                <w:p>
                  <w:pPr>
                    <w:pStyle w:val="50"/>
                    <w:bidi w:val="0"/>
                    <w:ind w:firstLine="420" w:firstLineChars="200"/>
                    <w:jc w:val="left"/>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z w:val="21"/>
                      <w:szCs w:val="21"/>
                      <w:lang w:eastAsia="zh-CN"/>
                    </w:rPr>
                    <w:t>一、项目基本情况。本项目</w:t>
                  </w:r>
                  <w:r>
                    <w:rPr>
                      <w:rFonts w:hint="default" w:ascii="Times New Roman" w:hAnsi="Times New Roman" w:eastAsia="宋体" w:cs="Times New Roman"/>
                      <w:sz w:val="21"/>
                      <w:szCs w:val="21"/>
                      <w:lang w:val="en-US" w:eastAsia="zh-CN"/>
                    </w:rPr>
                    <w:t>位于张家港市金港镇港西村长阳路</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lang w:val="en-US" w:eastAsia="zh-CN"/>
                    </w:rPr>
                    <w:t>号</w:t>
                  </w:r>
                  <w:r>
                    <w:rPr>
                      <w:rFonts w:hint="default" w:ascii="Times New Roman" w:hAnsi="Times New Roman" w:eastAsia="宋体" w:cs="Times New Roman"/>
                      <w:sz w:val="21"/>
                      <w:szCs w:val="21"/>
                      <w:lang w:eastAsia="zh-CN"/>
                    </w:rPr>
                    <w:t>，总投资</w:t>
                  </w:r>
                  <w:r>
                    <w:rPr>
                      <w:rFonts w:hint="default" w:ascii="Times New Roman" w:hAnsi="Times New Roman" w:eastAsia="宋体" w:cs="Times New Roman"/>
                      <w:sz w:val="21"/>
                      <w:szCs w:val="21"/>
                      <w:lang w:val="en-US" w:eastAsia="zh-CN"/>
                    </w:rPr>
                    <w:t>1000万元，租用厂房面积8000平方米，购置相应设备，主要从事高密度床垫的生产和销售，该项目建成后，年产10万张海绵床垫。</w:t>
                  </w:r>
                </w:p>
              </w:tc>
              <w:tc>
                <w:tcPr>
                  <w:tcW w:w="3157" w:type="dxa"/>
                  <w:vAlign w:val="center"/>
                </w:tcPr>
                <w:p>
                  <w:pPr>
                    <w:pStyle w:val="50"/>
                    <w:bidi w:val="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cs="Times New Roman"/>
                      <w:sz w:val="21"/>
                      <w:szCs w:val="21"/>
                      <w:lang w:val="en-US" w:eastAsia="zh-CN"/>
                    </w:rPr>
                    <w:t>企业实际地址未变，门牌号码进行了变更，其他情况</w:t>
                  </w:r>
                  <w:r>
                    <w:rPr>
                      <w:rFonts w:hint="default" w:ascii="Times New Roman" w:hAnsi="Times New Roman" w:eastAsia="宋体" w:cs="Times New Roman"/>
                      <w:sz w:val="21"/>
                      <w:szCs w:val="21"/>
                      <w:lang w:eastAsia="zh-CN"/>
                    </w:rPr>
                    <w:t>同批复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6" w:type="dxa"/>
                  <w:vAlign w:val="top"/>
                </w:tcPr>
                <w:p>
                  <w:pPr>
                    <w:pStyle w:val="50"/>
                    <w:numPr>
                      <w:ilvl w:val="0"/>
                      <w:numId w:val="3"/>
                    </w:numPr>
                    <w:bidi w:val="0"/>
                    <w:ind w:firstLine="420" w:firstLineChars="200"/>
                    <w:jc w:val="left"/>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z w:val="21"/>
                      <w:szCs w:val="21"/>
                      <w:lang w:eastAsia="zh-CN"/>
                    </w:rPr>
                    <w:t>根据该项目的环评结论，</w:t>
                  </w:r>
                  <w:r>
                    <w:rPr>
                      <w:rFonts w:hint="default" w:ascii="Times New Roman" w:hAnsi="Times New Roman" w:eastAsia="宋体" w:cs="Times New Roman"/>
                      <w:sz w:val="21"/>
                      <w:szCs w:val="21"/>
                      <w:lang w:val="en-US" w:eastAsia="zh-CN"/>
                    </w:rPr>
                    <w:t>在全面落实报告表提出的各项污染防治措施的前提下，同意建设。</w:t>
                  </w:r>
                </w:p>
              </w:tc>
              <w:tc>
                <w:tcPr>
                  <w:tcW w:w="3157" w:type="dxa"/>
                  <w:vAlign w:val="center"/>
                </w:tcPr>
                <w:p>
                  <w:pPr>
                    <w:pStyle w:val="50"/>
                    <w:bidi w:val="0"/>
                    <w:ind w:firstLine="420" w:firstLineChars="200"/>
                    <w:jc w:val="left"/>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z w:val="21"/>
                      <w:szCs w:val="21"/>
                      <w:lang w:eastAsia="zh-CN"/>
                    </w:rPr>
                    <w:t>已落实各项污染防治</w:t>
                  </w:r>
                  <w:r>
                    <w:rPr>
                      <w:rFonts w:hint="default" w:ascii="Times New Roman" w:hAnsi="Times New Roman" w:eastAsia="宋体" w:cs="Times New Roman"/>
                      <w:sz w:val="21"/>
                      <w:szCs w:val="21"/>
                      <w:lang w:val="en-US" w:eastAsia="zh-C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6" w:type="dxa"/>
                  <w:vAlign w:val="top"/>
                </w:tcPr>
                <w:p>
                  <w:pPr>
                    <w:pStyle w:val="50"/>
                    <w:bidi w:val="0"/>
                    <w:ind w:firstLine="420" w:firstLineChars="20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三、</w:t>
                  </w:r>
                  <w:r>
                    <w:rPr>
                      <w:rFonts w:hint="default" w:ascii="Times New Roman" w:hAnsi="Times New Roman" w:eastAsia="宋体" w:cs="Times New Roman"/>
                      <w:sz w:val="21"/>
                      <w:szCs w:val="21"/>
                      <w:lang w:val="en-US" w:eastAsia="zh-CN"/>
                    </w:rPr>
                    <w:t>在项目工程设计、建设和环境管理过程中必须做到</w:t>
                  </w:r>
                  <w:r>
                    <w:rPr>
                      <w:rFonts w:hint="default" w:ascii="Times New Roman" w:hAnsi="Times New Roman" w:eastAsia="宋体" w:cs="Times New Roman"/>
                      <w:sz w:val="21"/>
                      <w:szCs w:val="21"/>
                      <w:lang w:eastAsia="zh-CN"/>
                    </w:rPr>
                    <w:t>：</w:t>
                  </w:r>
                </w:p>
                <w:p>
                  <w:pPr>
                    <w:pStyle w:val="50"/>
                    <w:bidi w:val="0"/>
                    <w:ind w:firstLine="420" w:firstLineChars="200"/>
                    <w:jc w:val="left"/>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z w:val="21"/>
                      <w:szCs w:val="21"/>
                      <w:lang w:val="en-US" w:eastAsia="zh-CN"/>
                    </w:rPr>
                    <w:t>1.不新增废气排放</w:t>
                  </w:r>
                  <w:r>
                    <w:rPr>
                      <w:rFonts w:hint="default" w:ascii="Times New Roman" w:hAnsi="Times New Roman" w:eastAsia="宋体" w:cs="Times New Roman"/>
                      <w:sz w:val="21"/>
                      <w:szCs w:val="21"/>
                      <w:lang w:eastAsia="zh-CN"/>
                    </w:rPr>
                    <w:t>。</w:t>
                  </w:r>
                </w:p>
              </w:tc>
              <w:tc>
                <w:tcPr>
                  <w:tcW w:w="3157" w:type="dxa"/>
                  <w:vAlign w:val="center"/>
                </w:tcPr>
                <w:p>
                  <w:pPr>
                    <w:pStyle w:val="50"/>
                    <w:bidi w:val="0"/>
                    <w:ind w:firstLine="420" w:firstLineChars="200"/>
                    <w:jc w:val="left"/>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z w:val="21"/>
                      <w:szCs w:val="21"/>
                      <w:lang w:val="en-US" w:eastAsia="zh-CN"/>
                    </w:rPr>
                    <w:t>不涉及废气产生与排放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6" w:type="dxa"/>
                  <w:vAlign w:val="top"/>
                </w:tcPr>
                <w:p>
                  <w:pPr>
                    <w:pStyle w:val="50"/>
                    <w:bidi w:val="0"/>
                    <w:ind w:firstLine="420" w:firstLineChars="200"/>
                    <w:jc w:val="left"/>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z w:val="21"/>
                      <w:szCs w:val="21"/>
                      <w:lang w:val="en-US" w:eastAsia="zh-CN"/>
                    </w:rPr>
                    <w:t>2.新增生活污水接管至张家港市给排水公司金港片区污水处理厂处理</w:t>
                  </w:r>
                  <w:r>
                    <w:rPr>
                      <w:rFonts w:hint="default" w:ascii="Times New Roman" w:hAnsi="Times New Roman" w:eastAsia="宋体" w:cs="Times New Roman"/>
                      <w:sz w:val="21"/>
                      <w:szCs w:val="21"/>
                      <w:lang w:eastAsia="zh-CN"/>
                    </w:rPr>
                    <w:t>。</w:t>
                  </w:r>
                </w:p>
              </w:tc>
              <w:tc>
                <w:tcPr>
                  <w:tcW w:w="3157" w:type="dxa"/>
                  <w:vAlign w:val="center"/>
                </w:tcPr>
                <w:p>
                  <w:pPr>
                    <w:pStyle w:val="50"/>
                    <w:bidi w:val="0"/>
                    <w:ind w:firstLine="420" w:firstLineChars="200"/>
                    <w:jc w:val="left"/>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z w:val="21"/>
                      <w:szCs w:val="21"/>
                      <w:lang w:val="en-US" w:eastAsia="zh-CN"/>
                    </w:rPr>
                    <w:t>新增生活污水已接管至张家港市给排水公司金港片区污水处理厂</w:t>
                  </w:r>
                  <w:r>
                    <w:rPr>
                      <w:rFonts w:hint="default" w:ascii="Times New Roman" w:hAnsi="Times New Roman" w:eastAsia="宋体"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6" w:type="dxa"/>
                  <w:vAlign w:val="top"/>
                </w:tcPr>
                <w:p>
                  <w:pPr>
                    <w:pStyle w:val="50"/>
                    <w:bidi w:val="0"/>
                    <w:ind w:firstLine="420" w:firstLineChars="200"/>
                    <w:jc w:val="left"/>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z w:val="21"/>
                      <w:szCs w:val="21"/>
                      <w:lang w:val="en-US" w:eastAsia="zh-CN"/>
                    </w:rPr>
                    <w:t>3.合理进行生产布局，采取先进的低噪声设备，高噪声设备必须采取有效隔声、减振等等措施，确保厂界噪声达到《工业企业厂界环境噪声排放标准》(GB 12348-2008)3类标准</w:t>
                  </w:r>
                  <w:r>
                    <w:rPr>
                      <w:rFonts w:hint="default" w:ascii="Times New Roman" w:hAnsi="Times New Roman" w:eastAsia="宋体" w:cs="Times New Roman"/>
                      <w:sz w:val="21"/>
                      <w:szCs w:val="21"/>
                      <w:lang w:eastAsia="zh-CN"/>
                    </w:rPr>
                    <w:t>。</w:t>
                  </w:r>
                </w:p>
              </w:tc>
              <w:tc>
                <w:tcPr>
                  <w:tcW w:w="3157" w:type="dxa"/>
                  <w:vAlign w:val="center"/>
                </w:tcPr>
                <w:p>
                  <w:pPr>
                    <w:pStyle w:val="50"/>
                    <w:bidi w:val="0"/>
                    <w:ind w:firstLine="420" w:firstLineChars="200"/>
                    <w:jc w:val="left"/>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z w:val="21"/>
                      <w:szCs w:val="21"/>
                      <w:lang w:eastAsia="zh-CN"/>
                    </w:rPr>
                    <w:t>验收监测期间，项目环境噪声监测值满足环评批复要求。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6" w:type="dxa"/>
                  <w:vAlign w:val="top"/>
                </w:tcPr>
                <w:p>
                  <w:pPr>
                    <w:pStyle w:val="50"/>
                    <w:bidi w:val="0"/>
                    <w:ind w:firstLine="420" w:firstLineChars="200"/>
                    <w:jc w:val="left"/>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eastAsia="zh-CN"/>
                    </w:rPr>
                    <w:t>制定和落实固体废物(废液)特别是危险废物的厂内收集和贮存、综合利用、安全处置的实施方案，实现“零排放”。</w:t>
                  </w:r>
                </w:p>
              </w:tc>
              <w:tc>
                <w:tcPr>
                  <w:tcW w:w="3157" w:type="dxa"/>
                  <w:vAlign w:val="center"/>
                </w:tcPr>
                <w:p>
                  <w:pPr>
                    <w:pStyle w:val="50"/>
                    <w:bidi w:val="0"/>
                    <w:ind w:firstLine="420" w:firstLineChars="200"/>
                    <w:jc w:val="left"/>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z w:val="21"/>
                      <w:szCs w:val="21"/>
                      <w:lang w:eastAsia="zh-CN"/>
                    </w:rPr>
                    <w:t>产生的各类固废均按环评要求进行了规范处置。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6" w:type="dxa"/>
                  <w:vAlign w:val="top"/>
                </w:tcPr>
                <w:p>
                  <w:pPr>
                    <w:pStyle w:val="50"/>
                    <w:bidi w:val="0"/>
                    <w:ind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eastAsia="zh-CN"/>
                    </w:rPr>
                    <w:t>本项目实施后，污染物年排放量核定</w:t>
                  </w:r>
                  <w:r>
                    <w:rPr>
                      <w:rFonts w:hint="default" w:ascii="Times New Roman" w:hAnsi="Times New Roman" w:eastAsia="宋体" w:cs="Times New Roman"/>
                      <w:sz w:val="21"/>
                      <w:szCs w:val="21"/>
                      <w:lang w:val="en-US" w:eastAsia="zh-CN"/>
                    </w:rPr>
                    <w:t>为</w:t>
                  </w:r>
                  <w:r>
                    <w:rPr>
                      <w:rFonts w:hint="default" w:ascii="Times New Roman" w:hAnsi="Times New Roman" w:eastAsia="宋体" w:cs="Times New Roman"/>
                      <w:sz w:val="21"/>
                      <w:szCs w:val="21"/>
                      <w:lang w:eastAsia="zh-CN"/>
                    </w:rPr>
                    <w:t>：</w:t>
                  </w:r>
                </w:p>
                <w:p>
                  <w:pPr>
                    <w:pStyle w:val="50"/>
                    <w:bidi w:val="0"/>
                    <w:ind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r>
                    <w:rPr>
                      <w:rFonts w:hint="default" w:ascii="Times New Roman" w:hAnsi="Times New Roman" w:eastAsia="宋体" w:cs="Times New Roman"/>
                      <w:sz w:val="21"/>
                      <w:szCs w:val="21"/>
                      <w:lang w:eastAsia="zh-CN"/>
                    </w:rPr>
                    <w:t>污染物（</w:t>
                  </w:r>
                  <w:r>
                    <w:rPr>
                      <w:rFonts w:hint="default" w:ascii="Times New Roman" w:hAnsi="Times New Roman" w:eastAsia="宋体" w:cs="Times New Roman"/>
                      <w:sz w:val="21"/>
                      <w:szCs w:val="21"/>
                      <w:lang w:val="en-US" w:eastAsia="zh-CN"/>
                    </w:rPr>
                    <w:t>接管量</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废水量</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480</w:t>
                  </w:r>
                  <w:r>
                    <w:rPr>
                      <w:rFonts w:hint="default" w:ascii="Times New Roman" w:hAnsi="Times New Roman" w:eastAsia="宋体" w:cs="Times New Roman"/>
                      <w:sz w:val="21"/>
                      <w:szCs w:val="21"/>
                      <w:lang w:eastAsia="zh-CN"/>
                    </w:rPr>
                    <w:t>吨，</w:t>
                  </w:r>
                  <w:r>
                    <w:rPr>
                      <w:rFonts w:hint="default" w:ascii="Times New Roman" w:hAnsi="Times New Roman" w:eastAsia="宋体" w:cs="Times New Roman"/>
                      <w:sz w:val="21"/>
                      <w:szCs w:val="21"/>
                      <w:lang w:val="en-US" w:eastAsia="zh-CN"/>
                    </w:rPr>
                    <w:t>COS</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0.192</w:t>
                  </w:r>
                  <w:r>
                    <w:rPr>
                      <w:rFonts w:hint="default" w:ascii="Times New Roman" w:hAnsi="Times New Roman" w:eastAsia="宋体" w:cs="Times New Roman"/>
                      <w:sz w:val="21"/>
                      <w:szCs w:val="21"/>
                      <w:lang w:eastAsia="zh-CN"/>
                    </w:rPr>
                    <w:t>吨、</w:t>
                  </w:r>
                  <w:r>
                    <w:rPr>
                      <w:rFonts w:hint="default" w:ascii="Times New Roman" w:hAnsi="Times New Roman" w:eastAsia="宋体" w:cs="Times New Roman"/>
                      <w:sz w:val="21"/>
                      <w:szCs w:val="21"/>
                      <w:lang w:val="en-US" w:eastAsia="zh-CN"/>
                    </w:rPr>
                    <w:t>SS</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0.096</w:t>
                  </w:r>
                  <w:r>
                    <w:rPr>
                      <w:rFonts w:hint="default" w:ascii="Times New Roman" w:hAnsi="Times New Roman" w:eastAsia="宋体" w:cs="Times New Roman"/>
                      <w:sz w:val="21"/>
                      <w:szCs w:val="21"/>
                      <w:lang w:eastAsia="zh-CN"/>
                    </w:rPr>
                    <w:t>吨、</w:t>
                  </w:r>
                  <w:r>
                    <w:rPr>
                      <w:rFonts w:hint="default" w:ascii="Times New Roman" w:hAnsi="Times New Roman" w:eastAsia="宋体" w:cs="Times New Roman"/>
                      <w:sz w:val="21"/>
                      <w:szCs w:val="21"/>
                      <w:lang w:val="en-US" w:eastAsia="zh-CN"/>
                    </w:rPr>
                    <w:t>氨氮</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0.012</w:t>
                  </w:r>
                  <w:r>
                    <w:rPr>
                      <w:rFonts w:hint="default" w:ascii="Times New Roman" w:hAnsi="Times New Roman" w:eastAsia="宋体" w:cs="Times New Roman"/>
                      <w:sz w:val="21"/>
                      <w:szCs w:val="21"/>
                      <w:lang w:eastAsia="zh-CN"/>
                    </w:rPr>
                    <w:t>吨、</w:t>
                  </w:r>
                  <w:r>
                    <w:rPr>
                      <w:rFonts w:hint="default" w:ascii="Times New Roman" w:hAnsi="Times New Roman" w:eastAsia="宋体" w:cs="Times New Roman"/>
                      <w:sz w:val="21"/>
                      <w:szCs w:val="21"/>
                      <w:lang w:val="en-US" w:eastAsia="zh-CN"/>
                    </w:rPr>
                    <w:t>TP</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0.002</w:t>
                  </w:r>
                  <w:r>
                    <w:rPr>
                      <w:rFonts w:hint="default" w:ascii="Times New Roman" w:hAnsi="Times New Roman" w:eastAsia="宋体" w:cs="Times New Roman"/>
                      <w:sz w:val="21"/>
                      <w:szCs w:val="21"/>
                      <w:lang w:eastAsia="zh-CN"/>
                    </w:rPr>
                    <w:t>吨。</w:t>
                  </w:r>
                </w:p>
              </w:tc>
              <w:tc>
                <w:tcPr>
                  <w:tcW w:w="3157" w:type="dxa"/>
                  <w:vAlign w:val="center"/>
                </w:tcPr>
                <w:p>
                  <w:pPr>
                    <w:pStyle w:val="50"/>
                    <w:bidi w:val="0"/>
                    <w:ind w:firstLine="420" w:firstLineChars="200"/>
                    <w:jc w:val="left"/>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z w:val="21"/>
                      <w:szCs w:val="21"/>
                      <w:lang w:val="en-US" w:eastAsia="zh-CN"/>
                    </w:rPr>
                    <w:t>废水</w:t>
                  </w:r>
                  <w:r>
                    <w:rPr>
                      <w:rFonts w:hint="default" w:ascii="Times New Roman" w:hAnsi="Times New Roman" w:eastAsia="宋体" w:cs="Times New Roman"/>
                      <w:sz w:val="21"/>
                      <w:szCs w:val="21"/>
                      <w:lang w:eastAsia="zh-CN"/>
                    </w:rPr>
                    <w:t>年排放量满足批复的总量指标要求。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6" w:type="dxa"/>
                  <w:vAlign w:val="top"/>
                </w:tcPr>
                <w:p>
                  <w:pPr>
                    <w:pStyle w:val="50"/>
                    <w:bidi w:val="0"/>
                    <w:ind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6.项目建成后，试生产前须报张家港保税区安全环保局备案。</w:t>
                  </w:r>
                </w:p>
              </w:tc>
              <w:tc>
                <w:tcPr>
                  <w:tcW w:w="3157" w:type="dxa"/>
                  <w:vAlign w:val="center"/>
                </w:tcPr>
                <w:p>
                  <w:pPr>
                    <w:pStyle w:val="50"/>
                    <w:bidi w:val="0"/>
                    <w:jc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z w:val="21"/>
                      <w:szCs w:val="21"/>
                      <w:lang w:val="en-US" w:eastAsia="zh-CN"/>
                    </w:rPr>
                    <w:t>已完成备案</w:t>
                  </w:r>
                  <w:r>
                    <w:rPr>
                      <w:rFonts w:hint="default" w:ascii="Times New Roman" w:hAnsi="Times New Roman" w:eastAsia="宋体"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6" w:type="dxa"/>
                  <w:vAlign w:val="top"/>
                </w:tcPr>
                <w:p>
                  <w:pPr>
                    <w:pStyle w:val="50"/>
                    <w:bidi w:val="0"/>
                    <w:ind w:firstLine="420" w:firstLineChars="200"/>
                    <w:jc w:val="left"/>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napToGrid w:val="0"/>
                      <w:kern w:val="0"/>
                      <w:sz w:val="21"/>
                      <w:szCs w:val="21"/>
                      <w:lang w:val="en-US" w:eastAsia="zh-CN" w:bidi="ar-SA"/>
                    </w:rPr>
                    <w:t>7.如该项目所涉及污染物排放标准发生变化，应执行最新的排放标准。</w:t>
                  </w:r>
                </w:p>
              </w:tc>
              <w:tc>
                <w:tcPr>
                  <w:tcW w:w="3157" w:type="dxa"/>
                  <w:vAlign w:val="center"/>
                </w:tcPr>
                <w:p>
                  <w:pPr>
                    <w:pStyle w:val="50"/>
                    <w:bidi w:val="0"/>
                    <w:jc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z w:val="21"/>
                      <w:szCs w:val="21"/>
                      <w:lang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6" w:type="dxa"/>
                  <w:vAlign w:val="top"/>
                </w:tcPr>
                <w:p>
                  <w:pPr>
                    <w:pStyle w:val="50"/>
                    <w:bidi w:val="0"/>
                    <w:ind w:firstLine="420" w:firstLineChars="200"/>
                    <w:jc w:val="left"/>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napToGrid w:val="0"/>
                      <w:kern w:val="0"/>
                      <w:sz w:val="21"/>
                      <w:szCs w:val="21"/>
                      <w:lang w:val="en-US" w:eastAsia="zh-CN" w:bidi="ar-SA"/>
                    </w:rPr>
                    <w:t>8.</w:t>
                  </w:r>
                  <w:r>
                    <w:rPr>
                      <w:rFonts w:hint="default" w:ascii="Times New Roman" w:hAnsi="Times New Roman" w:eastAsia="宋体" w:cs="Times New Roman"/>
                      <w:sz w:val="21"/>
                      <w:szCs w:val="21"/>
                      <w:lang w:eastAsia="zh-CN"/>
                    </w:rPr>
                    <w:t>该项目在建设过程中若项目的性质、规模、地点、采用的生产工艺或者防治污染、防止生态破坏的措施、设施发生重大变动的，应当重新报批项目的环境影响评价文件。自批准之日起，如超过5年方决定工程开工建设的，环境影响评价文件须报重新审核。</w:t>
                  </w:r>
                </w:p>
              </w:tc>
              <w:tc>
                <w:tcPr>
                  <w:tcW w:w="3157" w:type="dxa"/>
                  <w:vAlign w:val="center"/>
                </w:tcPr>
                <w:p>
                  <w:pPr>
                    <w:pStyle w:val="50"/>
                    <w:bidi w:val="0"/>
                    <w:jc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z w:val="21"/>
                      <w:szCs w:val="21"/>
                      <w:lang w:eastAsia="zh-CN"/>
                    </w:rPr>
                    <w:t>无重大变动情况。</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rPr>
            </w:pPr>
          </w:p>
        </w:tc>
      </w:tr>
    </w:tbl>
    <w:p>
      <w:pPr>
        <w:pStyle w:val="2"/>
        <w:rPr>
          <w:rFonts w:hint="default" w:ascii="Times New Roman" w:hAnsi="Times New Roman" w:cs="Times New Roman"/>
          <w:lang w:val="zh-CN"/>
        </w:rPr>
      </w:pPr>
    </w:p>
    <w:p>
      <w:pPr>
        <w:spacing w:line="480" w:lineRule="exact"/>
        <w:rPr>
          <w:rFonts w:hint="default" w:ascii="Times New Roman" w:hAnsi="Times New Roman" w:eastAsia="宋体" w:cs="Times New Roman"/>
          <w:sz w:val="32"/>
          <w:szCs w:val="32"/>
          <w:lang w:val="zh-CN"/>
        </w:rPr>
      </w:pPr>
      <w:r>
        <w:rPr>
          <w:rFonts w:hint="default" w:ascii="Times New Roman" w:hAnsi="Times New Roman" w:eastAsia="宋体" w:cs="Times New Roman"/>
          <w:sz w:val="32"/>
          <w:szCs w:val="32"/>
          <w:lang w:val="zh-CN"/>
        </w:rPr>
        <w:br w:type="page"/>
      </w:r>
    </w:p>
    <w:p>
      <w:pPr>
        <w:pStyle w:val="3"/>
        <w:keepNext/>
        <w:keepLines/>
        <w:pageBreakBefore/>
        <w:bidi w:val="0"/>
        <w:spacing w:before="0" w:beforeAutospacing="0" w:after="0" w:afterLines="0" w:afterAutospacing="0" w:line="360" w:lineRule="auto"/>
        <w:ind w:firstLine="0" w:firstLineChars="0"/>
        <w:jc w:val="both"/>
        <w:outlineLvl w:val="0"/>
        <w:rPr>
          <w:rFonts w:hint="default" w:ascii="Times New Roman" w:hAnsi="Times New Roman" w:eastAsia="宋体" w:cs="Times New Roman"/>
          <w:sz w:val="28"/>
          <w:szCs w:val="24"/>
          <w:lang w:val="zh-CN" w:bidi="ar-SA"/>
        </w:rPr>
      </w:pPr>
      <w:bookmarkStart w:id="6" w:name="_Toc24006"/>
      <w:r>
        <w:rPr>
          <w:rFonts w:hint="default" w:ascii="Times New Roman" w:hAnsi="Times New Roman" w:eastAsia="宋体" w:cs="Times New Roman"/>
          <w:sz w:val="28"/>
          <w:szCs w:val="24"/>
          <w:lang w:val="zh-CN" w:bidi="ar-SA"/>
        </w:rPr>
        <w:t>表五、主要污染源、污染物产生及处置</w:t>
      </w:r>
      <w:bookmarkEnd w:id="6"/>
    </w:p>
    <w:tbl>
      <w:tblPr>
        <w:tblStyle w:val="18"/>
        <w:tblW w:w="871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8" w:hRule="atLeast"/>
        </w:trPr>
        <w:tc>
          <w:tcPr>
            <w:tcW w:w="8715" w:type="dxa"/>
          </w:tcPr>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cs="Times New Roman"/>
                <w:b/>
                <w:bCs/>
                <w:snapToGrid w:val="0"/>
                <w:kern w:val="0"/>
                <w:sz w:val="24"/>
                <w:lang w:val="en-US" w:eastAsia="zh-CN"/>
              </w:rPr>
            </w:pPr>
            <w:r>
              <w:rPr>
                <w:rFonts w:hint="default" w:ascii="Times New Roman" w:hAnsi="Times New Roman" w:cs="Times New Roman"/>
                <w:b/>
                <w:bCs/>
                <w:snapToGrid w:val="0"/>
                <w:kern w:val="0"/>
                <w:sz w:val="24"/>
                <w:lang w:val="en-US" w:eastAsia="zh-CN"/>
              </w:rPr>
              <w:t>施工期</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本项目不新建厂房，施工期主要涉及设备安装，不对施工期作重点分析。</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cs="Times New Roman"/>
                <w:b/>
                <w:bCs/>
                <w:snapToGrid w:val="0"/>
                <w:kern w:val="0"/>
                <w:sz w:val="24"/>
                <w:lang w:val="en-US" w:eastAsia="zh-CN"/>
              </w:rPr>
            </w:pPr>
            <w:r>
              <w:rPr>
                <w:rFonts w:hint="default" w:ascii="Times New Roman" w:hAnsi="Times New Roman" w:cs="Times New Roman"/>
                <w:b/>
                <w:bCs/>
                <w:snapToGrid w:val="0"/>
                <w:kern w:val="0"/>
                <w:sz w:val="24"/>
                <w:lang w:val="en-US" w:eastAsia="zh-CN"/>
              </w:rPr>
              <w:t>运营期</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41" w:firstLineChars="100"/>
              <w:textAlignment w:val="auto"/>
              <w:rPr>
                <w:rFonts w:hint="default" w:ascii="Times New Roman" w:hAnsi="Times New Roman" w:cs="Times New Roman"/>
                <w:b/>
                <w:bCs/>
                <w:snapToGrid w:val="0"/>
                <w:kern w:val="0"/>
                <w:sz w:val="24"/>
                <w:lang w:val="en-US" w:eastAsia="zh-CN"/>
              </w:rPr>
            </w:pPr>
            <w:r>
              <w:rPr>
                <w:rFonts w:hint="default" w:ascii="Times New Roman" w:hAnsi="Times New Roman" w:cs="Times New Roman"/>
                <w:b/>
                <w:bCs/>
                <w:snapToGrid w:val="0"/>
                <w:kern w:val="0"/>
                <w:sz w:val="24"/>
                <w:lang w:eastAsia="zh-CN"/>
              </w:rPr>
              <w:t>（</w:t>
            </w:r>
            <w:r>
              <w:rPr>
                <w:rFonts w:hint="default" w:ascii="Times New Roman" w:hAnsi="Times New Roman" w:cs="Times New Roman"/>
                <w:b/>
                <w:bCs/>
                <w:snapToGrid w:val="0"/>
                <w:kern w:val="0"/>
                <w:sz w:val="24"/>
                <w:lang w:val="en-US" w:eastAsia="zh-CN"/>
              </w:rPr>
              <w:t>1</w:t>
            </w:r>
            <w:r>
              <w:rPr>
                <w:rFonts w:hint="default" w:ascii="Times New Roman" w:hAnsi="Times New Roman" w:cs="Times New Roman"/>
                <w:b/>
                <w:bCs/>
                <w:snapToGrid w:val="0"/>
                <w:kern w:val="0"/>
                <w:sz w:val="24"/>
                <w:lang w:eastAsia="zh-CN"/>
              </w:rPr>
              <w:t>）</w:t>
            </w:r>
            <w:r>
              <w:rPr>
                <w:rFonts w:hint="default" w:ascii="Times New Roman" w:hAnsi="Times New Roman" w:eastAsia="宋体" w:cs="Times New Roman"/>
                <w:b/>
                <w:bCs/>
                <w:snapToGrid w:val="0"/>
                <w:kern w:val="0"/>
                <w:sz w:val="24"/>
              </w:rPr>
              <w:t>废</w:t>
            </w:r>
            <w:r>
              <w:rPr>
                <w:rFonts w:hint="default" w:ascii="Times New Roman" w:hAnsi="Times New Roman" w:cs="Times New Roman"/>
                <w:b/>
                <w:bCs/>
                <w:snapToGrid w:val="0"/>
                <w:kern w:val="0"/>
                <w:sz w:val="24"/>
                <w:lang w:val="en-US" w:eastAsia="zh-CN"/>
              </w:rPr>
              <w:t>水</w:t>
            </w:r>
          </w:p>
          <w:p>
            <w:pPr>
              <w:pStyle w:val="2"/>
              <w:keepNext w:val="0"/>
              <w:keepLines w:val="0"/>
              <w:pageBreakBefore w:val="0"/>
              <w:widowControl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废水主要为生活污水，本项目无工业废水排放。</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新增员工20人，年工作天数300天，</w:t>
            </w:r>
            <w:r>
              <w:rPr>
                <w:rFonts w:hint="default" w:ascii="Times New Roman" w:hAnsi="Times New Roman" w:eastAsia="宋体" w:cs="Times New Roman"/>
                <w:sz w:val="24"/>
              </w:rPr>
              <w:t>新增员工生活污水480t/a，生活污水经化粪池收集后接管至张家港市给排水公司金港片区污水处理厂</w:t>
            </w:r>
            <w:r>
              <w:rPr>
                <w:rFonts w:hint="default" w:ascii="Times New Roman" w:hAnsi="Times New Roman" w:eastAsia="宋体" w:cs="Times New Roman"/>
                <w:sz w:val="24"/>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firstLine="241" w:firstLineChars="100"/>
              <w:textAlignment w:val="auto"/>
              <w:rPr>
                <w:rFonts w:hint="default" w:ascii="Times New Roman" w:hAnsi="Times New Roman" w:eastAsia="宋体" w:cs="Times New Roman"/>
                <w:b/>
                <w:bCs/>
                <w:snapToGrid w:val="0"/>
                <w:kern w:val="0"/>
                <w:sz w:val="24"/>
                <w:lang w:val="en-US" w:eastAsia="zh-CN"/>
              </w:rPr>
            </w:pPr>
            <w:r>
              <w:rPr>
                <w:rFonts w:hint="default" w:ascii="Times New Roman" w:hAnsi="Times New Roman" w:eastAsia="宋体" w:cs="Times New Roman"/>
                <w:b/>
                <w:bCs/>
                <w:snapToGrid w:val="0"/>
                <w:kern w:val="0"/>
                <w:sz w:val="24"/>
                <w:lang w:val="en-US" w:eastAsia="zh-CN"/>
              </w:rPr>
              <w:t>噪声</w:t>
            </w:r>
          </w:p>
          <w:p>
            <w:pPr>
              <w:pStyle w:val="2"/>
              <w:keepNext w:val="0"/>
              <w:keepLines w:val="0"/>
              <w:pageBreakBefore w:val="0"/>
              <w:widowControl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主要噪声为生产设备运行时产生的噪声。</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本项目噪声污染具体防治措施如下：</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①在设备选型时选用先进的低噪声设备，在满足工艺设计的前提下，尽量选用满足国际标准的低噪声、低振动型号的设备，降低噪声源强。</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②设备减振、隔声</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生产设备在机组与地基之间安置减振器，电机设置隔声罩，可以降噪约15dB(A)左右。</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③加强建筑物隔声措施</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项目高噪声设备大部分安置在室内，有效利用了建筑隔声，并采取隔声、吸声材料制作门窗、墙体等，防止噪声的扩散和传播，采取隔声措施，降噪量约10dB(A)左右。</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④强化生产管理</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确保各类防治措施有效运行，各设备均保持良好运行状态，防止突发噪声。</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⑤合理布局</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在厂区总图布置中尽可能将噪声较集中的主厂房布置在厂区中央，其他噪声源亦尽可能远离厂界，以减轻对外界环境的影响。</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41" w:firstLineChars="100"/>
              <w:textAlignment w:val="auto"/>
              <w:rPr>
                <w:rFonts w:hint="default" w:ascii="Times New Roman" w:hAnsi="Times New Roman" w:eastAsia="宋体" w:cs="Times New Roman"/>
                <w:b/>
                <w:bCs/>
                <w:snapToGrid w:val="0"/>
                <w:kern w:val="0"/>
                <w:sz w:val="24"/>
                <w:lang w:val="en-US" w:eastAsia="zh-CN"/>
              </w:rPr>
            </w:pPr>
            <w:r>
              <w:rPr>
                <w:rFonts w:hint="default" w:ascii="Times New Roman" w:hAnsi="Times New Roman" w:eastAsia="宋体" w:cs="Times New Roman"/>
                <w:b/>
                <w:bCs/>
                <w:snapToGrid w:val="0"/>
                <w:kern w:val="0"/>
                <w:sz w:val="24"/>
                <w:lang w:val="en-US" w:eastAsia="zh-CN"/>
              </w:rPr>
              <w:t>（3）固体废弃物</w:t>
            </w:r>
          </w:p>
          <w:p>
            <w:pPr>
              <w:pStyle w:val="2"/>
              <w:keepNext w:val="0"/>
              <w:keepLines w:val="0"/>
              <w:pageBreakBefore w:val="0"/>
              <w:widowControl w:val="0"/>
              <w:kinsoku/>
              <w:wordWrap/>
              <w:overflowPunct/>
              <w:topLinePunct w:val="0"/>
              <w:bidi w:val="0"/>
              <w:spacing w:line="360" w:lineRule="auto"/>
              <w:ind w:firstLine="482" w:firstLineChars="200"/>
              <w:textAlignment w:val="auto"/>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固体废物主要包括</w:t>
            </w:r>
            <w:r>
              <w:rPr>
                <w:rFonts w:hint="default" w:ascii="Times New Roman" w:hAnsi="Times New Roman" w:eastAsia="宋体" w:cs="Times New Roman"/>
                <w:b/>
                <w:bCs/>
                <w:sz w:val="24"/>
                <w:lang w:val="en-US" w:eastAsia="zh-CN"/>
              </w:rPr>
              <w:t>包装废物和生活垃圾</w:t>
            </w:r>
            <w:r>
              <w:rPr>
                <w:rFonts w:hint="eastAsia" w:ascii="Times New Roman" w:hAnsi="Times New Roman" w:eastAsia="宋体" w:cs="Times New Roman"/>
                <w:b/>
                <w:bCs/>
                <w:sz w:val="24"/>
                <w:lang w:val="en-US" w:eastAsia="zh-CN"/>
              </w:rPr>
              <w:t>。</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sz w:val="24"/>
                <w:lang w:val="en-US" w:eastAsia="zh-CN"/>
              </w:rPr>
              <w:t>包装废物</w:t>
            </w:r>
            <w:r>
              <w:rPr>
                <w:rFonts w:hint="eastAsia" w:ascii="Times New Roman" w:hAnsi="Times New Roman" w:eastAsia="宋体" w:cs="Times New Roman"/>
                <w:sz w:val="24"/>
                <w:lang w:val="en-US" w:eastAsia="zh-CN"/>
              </w:rPr>
              <w:t>年产生量为0.5t，生活垃圾年产生量为3t，</w:t>
            </w:r>
            <w:r>
              <w:rPr>
                <w:rFonts w:hint="default" w:ascii="Times New Roman" w:hAnsi="Times New Roman" w:eastAsia="宋体" w:cs="Times New Roman"/>
                <w:sz w:val="24"/>
              </w:rPr>
              <w:t>委托苏州斯贝乐环保科技有限公司清运，零排放。</w:t>
            </w:r>
          </w:p>
        </w:tc>
      </w:tr>
    </w:tbl>
    <w:p>
      <w:pPr>
        <w:spacing w:line="360" w:lineRule="auto"/>
        <w:rPr>
          <w:rFonts w:hint="default" w:ascii="Times New Roman" w:hAnsi="Times New Roman" w:eastAsia="宋体" w:cs="Times New Roman"/>
          <w:sz w:val="32"/>
          <w:szCs w:val="32"/>
        </w:rPr>
      </w:pPr>
      <w:r>
        <w:rPr>
          <w:rFonts w:hint="default" w:ascii="Times New Roman" w:hAnsi="Times New Roman" w:eastAsia="宋体" w:cs="Times New Roman"/>
          <w:sz w:val="32"/>
          <w:szCs w:val="32"/>
        </w:rPr>
        <w:br w:type="page"/>
      </w:r>
    </w:p>
    <w:p>
      <w:pPr>
        <w:pStyle w:val="3"/>
        <w:keepNext/>
        <w:keepLines/>
        <w:pageBreakBefore/>
        <w:bidi w:val="0"/>
        <w:spacing w:before="0" w:beforeAutospacing="0" w:after="0" w:afterLines="0" w:afterAutospacing="0" w:line="360" w:lineRule="auto"/>
        <w:ind w:firstLine="0" w:firstLineChars="0"/>
        <w:jc w:val="both"/>
        <w:outlineLvl w:val="0"/>
        <w:rPr>
          <w:rFonts w:hint="default" w:ascii="Times New Roman" w:hAnsi="Times New Roman" w:eastAsia="宋体" w:cs="Times New Roman"/>
          <w:sz w:val="28"/>
          <w:szCs w:val="24"/>
          <w:lang w:bidi="ar-SA"/>
        </w:rPr>
      </w:pPr>
      <w:bookmarkStart w:id="7" w:name="_Toc1700"/>
      <w:r>
        <w:rPr>
          <w:rFonts w:hint="default" w:ascii="Times New Roman" w:hAnsi="Times New Roman" w:eastAsia="宋体" w:cs="Times New Roman"/>
          <w:sz w:val="28"/>
          <w:szCs w:val="24"/>
          <w:lang w:bidi="ar-SA"/>
        </w:rPr>
        <w:t>表</w:t>
      </w:r>
      <w:r>
        <w:rPr>
          <w:rFonts w:hint="default" w:ascii="Times New Roman" w:hAnsi="Times New Roman" w:eastAsia="宋体" w:cs="Times New Roman"/>
          <w:sz w:val="28"/>
          <w:szCs w:val="24"/>
          <w:lang w:eastAsia="zh-CN" w:bidi="ar-SA"/>
        </w:rPr>
        <w:t>六</w:t>
      </w:r>
      <w:r>
        <w:rPr>
          <w:rFonts w:hint="default" w:ascii="Times New Roman" w:hAnsi="Times New Roman" w:eastAsia="宋体" w:cs="Times New Roman"/>
          <w:sz w:val="28"/>
          <w:szCs w:val="24"/>
          <w:lang w:bidi="ar-SA"/>
        </w:rPr>
        <w:t>、</w:t>
      </w:r>
      <w:r>
        <w:rPr>
          <w:rFonts w:hint="default" w:ascii="Times New Roman" w:hAnsi="Times New Roman" w:eastAsia="宋体" w:cs="Times New Roman"/>
          <w:sz w:val="28"/>
          <w:szCs w:val="24"/>
          <w:lang w:eastAsia="zh-CN" w:bidi="ar-SA"/>
        </w:rPr>
        <w:t>监测期间工况记录</w:t>
      </w:r>
      <w:bookmarkEnd w:id="7"/>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4" w:hRule="atLeast"/>
          <w:jc w:val="center"/>
        </w:trPr>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验收监测期间(</w:t>
            </w:r>
            <w:r>
              <w:rPr>
                <w:rFonts w:hint="default" w:ascii="Times New Roman" w:hAnsi="Times New Roman" w:eastAsia="宋体" w:cs="Times New Roman"/>
                <w:color w:val="auto"/>
                <w:sz w:val="24"/>
                <w:szCs w:val="24"/>
                <w:lang w:val="en-US" w:eastAsia="zh-CN"/>
              </w:rPr>
              <w:t>202</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年</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月2</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日、2</w:t>
            </w:r>
            <w:r>
              <w:rPr>
                <w:rFonts w:hint="default"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日</w:t>
            </w:r>
            <w:r>
              <w:rPr>
                <w:rFonts w:hint="default" w:ascii="Times New Roman" w:hAnsi="Times New Roman" w:eastAsia="宋体" w:cs="Times New Roman"/>
                <w:color w:val="auto"/>
                <w:sz w:val="24"/>
                <w:szCs w:val="24"/>
                <w:lang w:eastAsia="zh-CN"/>
              </w:rPr>
              <w:t>)该公司生产正常</w:t>
            </w:r>
            <w:r>
              <w:rPr>
                <w:rFonts w:hint="default" w:ascii="Times New Roman" w:hAnsi="Times New Roman" w:eastAsia="宋体" w:cs="Times New Roman"/>
                <w:color w:val="auto"/>
                <w:sz w:val="24"/>
                <w:szCs w:val="24"/>
                <w:lang w:val="en-US" w:eastAsia="zh-CN"/>
              </w:rPr>
              <w:t>、主体工程工况稳定、环境保护设施运行正常。</w:t>
            </w:r>
            <w:r>
              <w:rPr>
                <w:rFonts w:hint="default" w:ascii="Times New Roman" w:hAnsi="Times New Roman" w:eastAsia="宋体" w:cs="Times New Roman"/>
                <w:color w:val="auto"/>
                <w:sz w:val="24"/>
                <w:szCs w:val="24"/>
                <w:lang w:eastAsia="zh-CN"/>
              </w:rPr>
              <w:t>生产工况见表</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-1</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验收监测期间本项目生产情况</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1224"/>
              <w:gridCol w:w="1700"/>
              <w:gridCol w:w="1685"/>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1" w:type="pct"/>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监测日期</w:t>
                  </w:r>
                </w:p>
              </w:tc>
              <w:tc>
                <w:tcPr>
                  <w:tcW w:w="737" w:type="pct"/>
                  <w:vAlign w:val="center"/>
                </w:tcPr>
                <w:p>
                  <w:pPr>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主要产品</w:t>
                  </w:r>
                </w:p>
              </w:tc>
              <w:tc>
                <w:tcPr>
                  <w:tcW w:w="1024" w:type="pct"/>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监测期间日生产量</w:t>
                  </w:r>
                  <w:r>
                    <w:rPr>
                      <w:rFonts w:hint="default" w:ascii="Times New Roman" w:hAnsi="Times New Roman" w:cs="Times New Roman"/>
                      <w:b/>
                      <w:bCs/>
                      <w:lang w:eastAsia="zh-CN"/>
                    </w:rPr>
                    <w:t>（</w:t>
                  </w:r>
                  <w:r>
                    <w:rPr>
                      <w:rFonts w:hint="default" w:ascii="Times New Roman" w:hAnsi="Times New Roman" w:cs="Times New Roman"/>
                      <w:color w:val="auto"/>
                      <w:sz w:val="21"/>
                      <w:szCs w:val="21"/>
                      <w:lang w:val="en-US" w:eastAsia="zh-CN"/>
                    </w:rPr>
                    <w:t>张/天</w:t>
                  </w:r>
                  <w:r>
                    <w:rPr>
                      <w:rFonts w:hint="default" w:ascii="Times New Roman" w:hAnsi="Times New Roman" w:cs="Times New Roman"/>
                      <w:b/>
                      <w:bCs/>
                      <w:lang w:eastAsia="zh-CN"/>
                    </w:rPr>
                    <w:t>）</w:t>
                  </w:r>
                </w:p>
              </w:tc>
              <w:tc>
                <w:tcPr>
                  <w:tcW w:w="1015"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环评设计</w:t>
                  </w:r>
                  <w:r>
                    <w:rPr>
                      <w:rFonts w:hint="default" w:ascii="Times New Roman" w:hAnsi="Times New Roman" w:eastAsia="宋体" w:cs="Times New Roman"/>
                      <w:b/>
                      <w:bCs/>
                      <w:lang w:eastAsia="zh-CN"/>
                    </w:rPr>
                    <w:t>年产量</w:t>
                  </w:r>
                  <w:r>
                    <w:rPr>
                      <w:rFonts w:hint="default" w:ascii="Times New Roman" w:hAnsi="Times New Roman" w:cs="Times New Roman"/>
                      <w:b/>
                      <w:bCs/>
                      <w:lang w:eastAsia="zh-CN"/>
                    </w:rPr>
                    <w:t>（</w:t>
                  </w:r>
                  <w:r>
                    <w:rPr>
                      <w:rFonts w:hint="default" w:ascii="Times New Roman" w:hAnsi="Times New Roman" w:cs="Times New Roman"/>
                      <w:kern w:val="2"/>
                      <w:sz w:val="21"/>
                      <w:szCs w:val="24"/>
                      <w:lang w:val="en-US" w:eastAsia="zh-CN" w:bidi="ar-SA"/>
                    </w:rPr>
                    <w:t>张</w:t>
                  </w:r>
                  <w:r>
                    <w:rPr>
                      <w:rFonts w:hint="default" w:ascii="Times New Roman" w:hAnsi="Times New Roman" w:eastAsia="宋体" w:cs="Times New Roman"/>
                      <w:kern w:val="2"/>
                      <w:sz w:val="21"/>
                      <w:szCs w:val="24"/>
                      <w:lang w:val="en-US" w:eastAsia="zh-CN" w:bidi="ar-SA"/>
                    </w:rPr>
                    <w:t>/a</w:t>
                  </w:r>
                  <w:r>
                    <w:rPr>
                      <w:rFonts w:hint="default" w:ascii="Times New Roman" w:hAnsi="Times New Roman" w:cs="Times New Roman"/>
                      <w:b/>
                      <w:bCs/>
                      <w:lang w:eastAsia="zh-CN"/>
                    </w:rPr>
                    <w:t>）</w:t>
                  </w:r>
                </w:p>
              </w:tc>
              <w:tc>
                <w:tcPr>
                  <w:tcW w:w="1000" w:type="pct"/>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1" w:type="pct"/>
                  <w:vAlign w:val="center"/>
                </w:tcPr>
                <w:p>
                  <w:pPr>
                    <w:jc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kern w:val="0"/>
                      <w:sz w:val="21"/>
                      <w:szCs w:val="21"/>
                      <w:lang w:val="en-US" w:eastAsia="zh-CN"/>
                    </w:rPr>
                    <w:t>202</w:t>
                  </w:r>
                  <w:r>
                    <w:rPr>
                      <w:rFonts w:hint="default" w:ascii="Times New Roman" w:hAnsi="Times New Roman" w:cs="Times New Roman"/>
                      <w:kern w:val="0"/>
                      <w:sz w:val="21"/>
                      <w:szCs w:val="21"/>
                      <w:lang w:val="en-US" w:eastAsia="zh-CN"/>
                    </w:rPr>
                    <w:t>2</w:t>
                  </w:r>
                  <w:r>
                    <w:rPr>
                      <w:rFonts w:hint="default" w:ascii="Times New Roman" w:hAnsi="Times New Roman" w:eastAsia="宋体" w:cs="Times New Roman"/>
                      <w:kern w:val="0"/>
                      <w:sz w:val="21"/>
                      <w:szCs w:val="21"/>
                      <w:lang w:val="en-US" w:eastAsia="zh-CN"/>
                    </w:rPr>
                    <w:t>年</w:t>
                  </w:r>
                  <w:r>
                    <w:rPr>
                      <w:rFonts w:hint="default" w:ascii="Times New Roman" w:hAnsi="Times New Roman" w:cs="Times New Roman"/>
                      <w:kern w:val="0"/>
                      <w:sz w:val="21"/>
                      <w:szCs w:val="21"/>
                      <w:lang w:val="en-US" w:eastAsia="zh-CN"/>
                    </w:rPr>
                    <w:t>5</w:t>
                  </w:r>
                  <w:r>
                    <w:rPr>
                      <w:rFonts w:hint="default" w:ascii="Times New Roman" w:hAnsi="Times New Roman" w:eastAsia="宋体" w:cs="Times New Roman"/>
                      <w:kern w:val="0"/>
                      <w:sz w:val="21"/>
                      <w:szCs w:val="21"/>
                      <w:lang w:val="en-US" w:eastAsia="zh-CN"/>
                    </w:rPr>
                    <w:t>月2</w:t>
                  </w:r>
                  <w:r>
                    <w:rPr>
                      <w:rFonts w:hint="default" w:ascii="Times New Roman" w:hAnsi="Times New Roman" w:cs="Times New Roman"/>
                      <w:kern w:val="0"/>
                      <w:sz w:val="21"/>
                      <w:szCs w:val="21"/>
                      <w:lang w:val="en-US" w:eastAsia="zh-CN"/>
                    </w:rPr>
                    <w:t>6</w:t>
                  </w:r>
                  <w:r>
                    <w:rPr>
                      <w:rFonts w:hint="default" w:ascii="Times New Roman" w:hAnsi="Times New Roman" w:eastAsia="宋体" w:cs="Times New Roman"/>
                      <w:kern w:val="0"/>
                      <w:sz w:val="21"/>
                      <w:szCs w:val="21"/>
                      <w:lang w:val="en-US" w:eastAsia="zh-CN"/>
                    </w:rPr>
                    <w:t>日</w:t>
                  </w:r>
                </w:p>
              </w:tc>
              <w:tc>
                <w:tcPr>
                  <w:tcW w:w="737" w:type="pct"/>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lang w:val="en-US" w:eastAsia="zh-CN"/>
                    </w:rPr>
                    <w:t>海绵床垫</w:t>
                  </w:r>
                </w:p>
              </w:tc>
              <w:tc>
                <w:tcPr>
                  <w:tcW w:w="1024"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278</w:t>
                  </w:r>
                </w:p>
              </w:tc>
              <w:tc>
                <w:tcPr>
                  <w:tcW w:w="1015" w:type="pct"/>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kern w:val="2"/>
                      <w:sz w:val="21"/>
                      <w:szCs w:val="24"/>
                      <w:lang w:val="en-US" w:eastAsia="zh-CN" w:bidi="ar-SA"/>
                    </w:rPr>
                    <w:t>10万</w:t>
                  </w:r>
                </w:p>
              </w:tc>
              <w:tc>
                <w:tcPr>
                  <w:tcW w:w="1000" w:type="pct"/>
                  <w:vAlign w:val="center"/>
                </w:tcPr>
                <w:p>
                  <w:pPr>
                    <w:jc w:val="center"/>
                    <w:rPr>
                      <w:rFonts w:hint="default" w:ascii="Times New Roman" w:hAnsi="Times New Roman" w:cs="Times New Roman"/>
                      <w:kern w:val="2"/>
                      <w:sz w:val="21"/>
                      <w:szCs w:val="24"/>
                      <w:lang w:val="en-US" w:eastAsia="zh-CN" w:bidi="ar-SA"/>
                    </w:rPr>
                  </w:pPr>
                  <w:r>
                    <w:rPr>
                      <w:rFonts w:hint="default" w:ascii="Times New Roman" w:hAnsi="Times New Roman" w:cs="Times New Roman"/>
                      <w:kern w:val="2"/>
                      <w:sz w:val="21"/>
                      <w:szCs w:val="24"/>
                      <w:lang w:val="en-US" w:eastAsia="zh-CN" w:bidi="ar-SA"/>
                    </w:rPr>
                    <w:t>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1" w:type="pct"/>
                  <w:vAlign w:val="center"/>
                </w:tcPr>
                <w:p>
                  <w:pPr>
                    <w:jc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kern w:val="0"/>
                      <w:sz w:val="21"/>
                      <w:szCs w:val="21"/>
                      <w:lang w:val="en-US" w:eastAsia="zh-CN"/>
                    </w:rPr>
                    <w:t>202</w:t>
                  </w:r>
                  <w:r>
                    <w:rPr>
                      <w:rFonts w:hint="eastAsia" w:ascii="Times New Roman" w:hAnsi="Times New Roman" w:cs="Times New Roman"/>
                      <w:kern w:val="0"/>
                      <w:sz w:val="21"/>
                      <w:szCs w:val="21"/>
                      <w:lang w:val="en-US" w:eastAsia="zh-CN"/>
                    </w:rPr>
                    <w:t>2</w:t>
                  </w:r>
                  <w:r>
                    <w:rPr>
                      <w:rFonts w:hint="default" w:ascii="Times New Roman" w:hAnsi="Times New Roman" w:eastAsia="宋体" w:cs="Times New Roman"/>
                      <w:kern w:val="0"/>
                      <w:sz w:val="21"/>
                      <w:szCs w:val="21"/>
                      <w:lang w:val="en-US" w:eastAsia="zh-CN"/>
                    </w:rPr>
                    <w:t>年</w:t>
                  </w:r>
                  <w:r>
                    <w:rPr>
                      <w:rFonts w:hint="default" w:ascii="Times New Roman" w:hAnsi="Times New Roman" w:cs="Times New Roman"/>
                      <w:kern w:val="0"/>
                      <w:sz w:val="21"/>
                      <w:szCs w:val="21"/>
                      <w:lang w:val="en-US" w:eastAsia="zh-CN"/>
                    </w:rPr>
                    <w:t>5</w:t>
                  </w:r>
                  <w:r>
                    <w:rPr>
                      <w:rFonts w:hint="default" w:ascii="Times New Roman" w:hAnsi="Times New Roman" w:eastAsia="宋体" w:cs="Times New Roman"/>
                      <w:kern w:val="0"/>
                      <w:sz w:val="21"/>
                      <w:szCs w:val="21"/>
                      <w:lang w:val="en-US" w:eastAsia="zh-CN"/>
                    </w:rPr>
                    <w:t>月2</w:t>
                  </w:r>
                  <w:r>
                    <w:rPr>
                      <w:rFonts w:hint="default" w:ascii="Times New Roman" w:hAnsi="Times New Roman" w:cs="Times New Roman"/>
                      <w:kern w:val="0"/>
                      <w:sz w:val="21"/>
                      <w:szCs w:val="21"/>
                      <w:lang w:val="en-US" w:eastAsia="zh-CN"/>
                    </w:rPr>
                    <w:t>7</w:t>
                  </w:r>
                  <w:r>
                    <w:rPr>
                      <w:rFonts w:hint="default" w:ascii="Times New Roman" w:hAnsi="Times New Roman" w:eastAsia="宋体" w:cs="Times New Roman"/>
                      <w:kern w:val="0"/>
                      <w:sz w:val="21"/>
                      <w:szCs w:val="21"/>
                      <w:lang w:val="en-US" w:eastAsia="zh-CN"/>
                    </w:rPr>
                    <w:t>日</w:t>
                  </w:r>
                </w:p>
              </w:tc>
              <w:tc>
                <w:tcPr>
                  <w:tcW w:w="737" w:type="pct"/>
                  <w:vMerge w:val="continue"/>
                  <w:vAlign w:val="center"/>
                </w:tcPr>
                <w:p>
                  <w:pPr>
                    <w:jc w:val="center"/>
                    <w:rPr>
                      <w:rFonts w:hint="default" w:ascii="Times New Roman" w:hAnsi="Times New Roman" w:eastAsia="宋体" w:cs="Times New Roman"/>
                      <w:sz w:val="21"/>
                      <w:szCs w:val="21"/>
                      <w:lang w:val="en-US" w:eastAsia="zh-CN"/>
                    </w:rPr>
                  </w:pPr>
                </w:p>
              </w:tc>
              <w:tc>
                <w:tcPr>
                  <w:tcW w:w="1024"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269</w:t>
                  </w:r>
                </w:p>
              </w:tc>
              <w:tc>
                <w:tcPr>
                  <w:tcW w:w="1015" w:type="pct"/>
                  <w:vMerge w:val="continue"/>
                  <w:vAlign w:val="center"/>
                </w:tcPr>
                <w:p>
                  <w:pPr>
                    <w:jc w:val="center"/>
                    <w:rPr>
                      <w:rFonts w:hint="default" w:ascii="Times New Roman" w:hAnsi="Times New Roman" w:eastAsia="宋体" w:cs="Times New Roman"/>
                      <w:sz w:val="21"/>
                      <w:szCs w:val="21"/>
                      <w:lang w:val="en-US" w:eastAsia="zh-CN"/>
                    </w:rPr>
                  </w:pPr>
                </w:p>
              </w:tc>
              <w:tc>
                <w:tcPr>
                  <w:tcW w:w="1000" w:type="pct"/>
                  <w:vAlign w:val="center"/>
                </w:tcPr>
                <w:p>
                  <w:pPr>
                    <w:jc w:val="center"/>
                    <w:rPr>
                      <w:rFonts w:hint="default" w:ascii="Times New Roman" w:hAnsi="Times New Roman" w:cs="Times New Roman"/>
                      <w:kern w:val="2"/>
                      <w:sz w:val="21"/>
                      <w:szCs w:val="24"/>
                      <w:lang w:val="en-US" w:eastAsia="zh-CN" w:bidi="ar-SA"/>
                    </w:rPr>
                  </w:pPr>
                  <w:r>
                    <w:rPr>
                      <w:rFonts w:hint="default" w:ascii="Times New Roman" w:hAnsi="Times New Roman" w:cs="Times New Roman"/>
                      <w:kern w:val="2"/>
                      <w:sz w:val="21"/>
                      <w:szCs w:val="24"/>
                      <w:lang w:val="en-US" w:eastAsia="zh-CN" w:bidi="ar-SA"/>
                    </w:rPr>
                    <w:t>80.8</w:t>
                  </w:r>
                </w:p>
              </w:tc>
            </w:tr>
          </w:tbl>
          <w:p>
            <w:pPr>
              <w:spacing w:line="360" w:lineRule="auto"/>
              <w:rPr>
                <w:rFonts w:hint="default" w:ascii="Times New Roman" w:hAnsi="Times New Roman" w:eastAsia="宋体" w:cs="Times New Roman"/>
                <w:lang w:val="en-US" w:eastAsia="zh-CN"/>
              </w:rPr>
            </w:pPr>
            <w:r>
              <w:rPr>
                <w:rFonts w:hint="default" w:ascii="Times New Roman" w:hAnsi="Times New Roman" w:cs="Times New Roman"/>
                <w:lang w:val="en-US" w:eastAsia="zh-CN"/>
              </w:rPr>
              <w:t>注：</w:t>
            </w:r>
            <w:r>
              <w:rPr>
                <w:rFonts w:hint="default" w:ascii="Times New Roman" w:hAnsi="Times New Roman" w:eastAsia="宋体" w:cs="Times New Roman"/>
                <w:sz w:val="21"/>
                <w:szCs w:val="21"/>
                <w:lang w:eastAsia="zh-CN"/>
              </w:rPr>
              <w:t>本项目实行</w:t>
            </w:r>
            <w:r>
              <w:rPr>
                <w:rFonts w:hint="default" w:ascii="Times New Roman" w:hAnsi="Times New Roman" w:cs="Times New Roman"/>
                <w:sz w:val="21"/>
                <w:szCs w:val="21"/>
                <w:lang w:val="en-US" w:eastAsia="zh-CN"/>
              </w:rPr>
              <w:t>常日班</w:t>
            </w:r>
            <w:r>
              <w:rPr>
                <w:rFonts w:hint="default" w:ascii="Times New Roman" w:hAnsi="Times New Roman" w:eastAsia="宋体" w:cs="Times New Roman"/>
                <w:sz w:val="21"/>
                <w:szCs w:val="21"/>
                <w:lang w:eastAsia="zh-CN"/>
              </w:rPr>
              <w:t>工作制</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上午8:00-下午5:00</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，年有效工作日为</w:t>
            </w:r>
            <w:r>
              <w:rPr>
                <w:rFonts w:hint="default" w:ascii="Times New Roman" w:hAnsi="Times New Roman" w:cs="Times New Roman"/>
                <w:sz w:val="21"/>
                <w:szCs w:val="21"/>
                <w:lang w:val="en-US" w:eastAsia="zh-CN"/>
              </w:rPr>
              <w:t>300</w:t>
            </w:r>
            <w:r>
              <w:rPr>
                <w:rFonts w:hint="default" w:ascii="Times New Roman" w:hAnsi="Times New Roman" w:eastAsia="宋体" w:cs="Times New Roman"/>
                <w:sz w:val="21"/>
                <w:szCs w:val="21"/>
                <w:lang w:eastAsia="zh-CN"/>
              </w:rPr>
              <w:t>天，年生产时间为</w:t>
            </w:r>
            <w:r>
              <w:rPr>
                <w:rFonts w:hint="default" w:ascii="Times New Roman" w:hAnsi="Times New Roman" w:cs="Times New Roman"/>
                <w:sz w:val="21"/>
                <w:szCs w:val="21"/>
                <w:lang w:val="en-US" w:eastAsia="zh-CN"/>
              </w:rPr>
              <w:t>24</w:t>
            </w:r>
            <w:r>
              <w:rPr>
                <w:rFonts w:hint="default" w:ascii="Times New Roman" w:hAnsi="Times New Roman" w:eastAsia="宋体" w:cs="Times New Roman"/>
                <w:sz w:val="21"/>
                <w:szCs w:val="21"/>
                <w:lang w:val="en-US" w:eastAsia="zh-CN"/>
              </w:rPr>
              <w:t>00</w:t>
            </w:r>
            <w:r>
              <w:rPr>
                <w:rFonts w:hint="default" w:ascii="Times New Roman" w:hAnsi="Times New Roman" w:eastAsia="宋体" w:cs="Times New Roman"/>
                <w:sz w:val="21"/>
                <w:szCs w:val="21"/>
                <w:lang w:eastAsia="zh-CN"/>
              </w:rPr>
              <w:t>小时。</w:t>
            </w:r>
          </w:p>
        </w:tc>
      </w:tr>
    </w:tbl>
    <w:p>
      <w:pPr>
        <w:spacing w:line="360" w:lineRule="auto"/>
        <w:rPr>
          <w:rFonts w:hint="default" w:ascii="Times New Roman" w:hAnsi="Times New Roman" w:eastAsia="宋体" w:cs="Times New Roman"/>
          <w:sz w:val="32"/>
          <w:szCs w:val="32"/>
        </w:rPr>
      </w:pPr>
      <w:r>
        <w:rPr>
          <w:rFonts w:hint="default" w:ascii="Times New Roman" w:hAnsi="Times New Roman" w:eastAsia="宋体" w:cs="Times New Roman"/>
          <w:sz w:val="32"/>
          <w:szCs w:val="32"/>
        </w:rPr>
        <w:br w:type="page"/>
      </w:r>
    </w:p>
    <w:p>
      <w:pPr>
        <w:pStyle w:val="3"/>
        <w:keepNext/>
        <w:keepLines/>
        <w:pageBreakBefore/>
        <w:bidi w:val="0"/>
        <w:spacing w:before="0" w:beforeAutospacing="0" w:after="0" w:afterLines="0" w:afterAutospacing="0" w:line="360" w:lineRule="auto"/>
        <w:ind w:firstLine="0" w:firstLineChars="0"/>
        <w:jc w:val="both"/>
        <w:outlineLvl w:val="0"/>
        <w:rPr>
          <w:rFonts w:hint="default" w:ascii="Times New Roman" w:hAnsi="Times New Roman" w:eastAsia="宋体" w:cs="Times New Roman"/>
          <w:sz w:val="28"/>
          <w:szCs w:val="24"/>
          <w:lang w:bidi="ar-SA"/>
        </w:rPr>
      </w:pPr>
      <w:bookmarkStart w:id="8" w:name="_Toc10773"/>
      <w:r>
        <w:rPr>
          <w:rFonts w:hint="default" w:ascii="Times New Roman" w:hAnsi="Times New Roman" w:eastAsia="宋体" w:cs="Times New Roman"/>
          <w:sz w:val="28"/>
          <w:szCs w:val="24"/>
          <w:lang w:bidi="ar-SA"/>
        </w:rPr>
        <w:t>表</w:t>
      </w:r>
      <w:r>
        <w:rPr>
          <w:rFonts w:hint="default" w:ascii="Times New Roman" w:hAnsi="Times New Roman" w:eastAsia="宋体" w:cs="Times New Roman"/>
          <w:sz w:val="28"/>
          <w:szCs w:val="24"/>
          <w:lang w:eastAsia="zh-CN" w:bidi="ar-SA"/>
        </w:rPr>
        <w:t>七</w:t>
      </w:r>
      <w:r>
        <w:rPr>
          <w:rFonts w:hint="default" w:ascii="Times New Roman" w:hAnsi="Times New Roman" w:eastAsia="宋体" w:cs="Times New Roman"/>
          <w:sz w:val="28"/>
          <w:szCs w:val="24"/>
          <w:lang w:bidi="ar-SA"/>
        </w:rPr>
        <w:t>、废</w:t>
      </w:r>
      <w:r>
        <w:rPr>
          <w:rFonts w:hint="default" w:ascii="Times New Roman" w:hAnsi="Times New Roman" w:eastAsia="宋体" w:cs="Times New Roman"/>
          <w:sz w:val="28"/>
          <w:szCs w:val="24"/>
          <w:lang w:val="en-US" w:eastAsia="zh-CN" w:bidi="ar-SA"/>
        </w:rPr>
        <w:t>水</w:t>
      </w:r>
      <w:r>
        <w:rPr>
          <w:rFonts w:hint="default" w:ascii="Times New Roman" w:hAnsi="Times New Roman" w:eastAsia="宋体" w:cs="Times New Roman"/>
          <w:sz w:val="28"/>
          <w:szCs w:val="24"/>
          <w:lang w:bidi="ar-SA"/>
        </w:rPr>
        <w:t>监测内容及结果评价</w:t>
      </w:r>
      <w:bookmarkEnd w:id="8"/>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11" w:hRule="atLeast"/>
          <w:jc w:val="center"/>
        </w:trPr>
        <w:tc>
          <w:tcPr>
            <w:tcW w:w="8522" w:type="dxa"/>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1、监测内容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本次验收废水监测主要内容见表</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eastAsia="zh-CN"/>
              </w:rPr>
              <w:t>-1</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eastAsia="zh-CN"/>
              </w:rPr>
              <w:t>表</w:t>
            </w:r>
            <w:r>
              <w:rPr>
                <w:rFonts w:hint="default" w:ascii="Times New Roman" w:hAnsi="Times New Roman" w:eastAsia="宋体" w:cs="Times New Roman"/>
                <w:b/>
                <w:bCs/>
                <w:sz w:val="24"/>
                <w:szCs w:val="24"/>
                <w:lang w:val="en-US" w:eastAsia="zh-CN"/>
              </w:rPr>
              <w:t xml:space="preserve">7-1 </w:t>
            </w:r>
            <w:r>
              <w:rPr>
                <w:rFonts w:hint="default" w:ascii="Times New Roman" w:hAnsi="Times New Roman" w:eastAsia="宋体" w:cs="Times New Roman"/>
                <w:b/>
                <w:bCs/>
                <w:sz w:val="24"/>
                <w:szCs w:val="24"/>
              </w:rPr>
              <w:t xml:space="preserve"> 废</w:t>
            </w:r>
            <w:r>
              <w:rPr>
                <w:rFonts w:hint="default" w:ascii="Times New Roman" w:hAnsi="Times New Roman" w:eastAsia="宋体" w:cs="Times New Roman"/>
                <w:b/>
                <w:bCs/>
                <w:sz w:val="24"/>
                <w:szCs w:val="24"/>
                <w:lang w:val="en-US" w:eastAsia="zh-CN"/>
              </w:rPr>
              <w:t>水</w:t>
            </w:r>
            <w:r>
              <w:rPr>
                <w:rFonts w:hint="default" w:ascii="Times New Roman" w:hAnsi="Times New Roman" w:eastAsia="宋体" w:cs="Times New Roman"/>
                <w:b/>
                <w:bCs/>
                <w:sz w:val="24"/>
                <w:szCs w:val="24"/>
              </w:rPr>
              <w:t>监测内容</w:t>
            </w:r>
          </w:p>
          <w:tbl>
            <w:tblPr>
              <w:tblStyle w:val="18"/>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1630"/>
              <w:gridCol w:w="2581"/>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10" w:type="pct"/>
                  <w:noWrap w:val="0"/>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类别</w:t>
                  </w:r>
                </w:p>
              </w:tc>
              <w:tc>
                <w:tcPr>
                  <w:tcW w:w="981" w:type="pct"/>
                  <w:noWrap w:val="0"/>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监测点位</w:t>
                  </w:r>
                </w:p>
              </w:tc>
              <w:tc>
                <w:tcPr>
                  <w:tcW w:w="1553" w:type="pct"/>
                  <w:noWrap w:val="0"/>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监测项目</w:t>
                  </w:r>
                </w:p>
              </w:tc>
              <w:tc>
                <w:tcPr>
                  <w:tcW w:w="1554" w:type="pct"/>
                  <w:noWrap w:val="0"/>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10" w:type="pct"/>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生活污水</w:t>
                  </w:r>
                </w:p>
              </w:tc>
              <w:tc>
                <w:tcPr>
                  <w:tcW w:w="981" w:type="pct"/>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接管口S1</w:t>
                  </w:r>
                </w:p>
              </w:tc>
              <w:tc>
                <w:tcPr>
                  <w:tcW w:w="1553" w:type="pct"/>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pH值、COD、悬浮物、氨氮、总磷</w:t>
                  </w:r>
                </w:p>
              </w:tc>
              <w:tc>
                <w:tcPr>
                  <w:tcW w:w="1554" w:type="pct"/>
                  <w:noWrap w:val="0"/>
                  <w:vAlign w:val="center"/>
                </w:tcPr>
                <w:p>
                  <w:pPr>
                    <w:pStyle w:val="50"/>
                    <w:bidi w:val="0"/>
                    <w:rPr>
                      <w:rFonts w:hint="default" w:ascii="Times New Roman" w:hAnsi="Times New Roman" w:cs="Times New Roman"/>
                      <w:sz w:val="21"/>
                      <w:szCs w:val="21"/>
                    </w:rPr>
                  </w:pPr>
                  <w:r>
                    <w:rPr>
                      <w:rFonts w:hint="default" w:ascii="Times New Roman" w:hAnsi="Times New Roman" w:cs="Times New Roman"/>
                      <w:sz w:val="21"/>
                      <w:szCs w:val="21"/>
                    </w:rPr>
                    <w:t>连续监测2天，每天</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次</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rPr>
            </w:pPr>
          </w:p>
          <w:tbl>
            <w:tblPr>
              <w:tblStyle w:val="19"/>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323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4021455</wp:posOffset>
                            </wp:positionH>
                            <wp:positionV relativeFrom="paragraph">
                              <wp:posOffset>370840</wp:posOffset>
                            </wp:positionV>
                            <wp:extent cx="438150" cy="314325"/>
                            <wp:effectExtent l="0" t="0" r="0" b="0"/>
                            <wp:wrapNone/>
                            <wp:docPr id="10" name="文本框 10"/>
                            <wp:cNvGraphicFramePr/>
                            <a:graphic xmlns:a="http://schemas.openxmlformats.org/drawingml/2006/main">
                              <a:graphicData uri="http://schemas.microsoft.com/office/word/2010/wordprocessingShape">
                                <wps:wsp>
                                  <wps:cNvSpPr txBox="1"/>
                                  <wps:spPr>
                                    <a:xfrm>
                                      <a:off x="5699760" y="3567430"/>
                                      <a:ext cx="43815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FF00"/>
                                            <w:lang w:val="en-US" w:eastAsia="zh-CN"/>
                                          </w:rPr>
                                        </w:pPr>
                                        <w:r>
                                          <w:rPr>
                                            <w:rFonts w:hint="eastAsia"/>
                                            <w:color w:val="FFFF00"/>
                                            <w:lang w:val="en-US"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65pt;margin-top:29.2pt;height:24.75pt;width:34.5pt;z-index:251667456;mso-width-relative:page;mso-height-relative:page;" filled="f" stroked="f" coordsize="21600,21600" o:gfxdata="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g8F+NsAAAAKAQAADwAAAAAAAAABACAA&#10;AAAiAAAAZHJzL2Rvd25yZXYueG1sUEsBAhQAFAAAAAgAh07iQJWodp9DAgAAcwQAAA4AAAAAAAAA&#10;AQAgAAAAKgEAAGRycy9lMm9Eb2MueG1sUEsFBgAAAAAGAAYAWQEAAN8FAAAAAA==&#10;">
                            <v:fill on="f" focussize="0,0"/>
                            <v:stroke on="f" weight="0.5pt"/>
                            <v:imagedata o:title=""/>
                            <o:lock v:ext="edit" aspectratio="f"/>
                            <v:textbox>
                              <w:txbxContent>
                                <w:p>
                                  <w:pPr>
                                    <w:rPr>
                                      <w:rFonts w:hint="eastAsia" w:eastAsia="宋体"/>
                                      <w:color w:val="FFFF00"/>
                                      <w:lang w:val="en-US" w:eastAsia="zh-CN"/>
                                    </w:rPr>
                                  </w:pPr>
                                  <w:r>
                                    <w:rPr>
                                      <w:rFonts w:hint="eastAsia"/>
                                      <w:color w:val="FFFF00"/>
                                      <w:lang w:val="en-US" w:eastAsia="zh-CN"/>
                                    </w:rPr>
                                    <w:t>北</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4335780</wp:posOffset>
                            </wp:positionH>
                            <wp:positionV relativeFrom="paragraph">
                              <wp:posOffset>237490</wp:posOffset>
                            </wp:positionV>
                            <wp:extent cx="0" cy="533400"/>
                            <wp:effectExtent l="48895" t="0" r="65405" b="0"/>
                            <wp:wrapNone/>
                            <wp:docPr id="9" name="直接箭头连接符 9"/>
                            <wp:cNvGraphicFramePr/>
                            <a:graphic xmlns:a="http://schemas.openxmlformats.org/drawingml/2006/main">
                              <a:graphicData uri="http://schemas.microsoft.com/office/word/2010/wordprocessingShape">
                                <wps:wsp>
                                  <wps:cNvCnPr/>
                                  <wps:spPr>
                                    <a:xfrm flipV="1">
                                      <a:off x="5547360" y="3443605"/>
                                      <a:ext cx="0" cy="53340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1.4pt;margin-top:18.7pt;height:42pt;width:0pt;z-index:251666432;mso-width-relative:page;mso-height-relative:page;" filled="f" stroked="t" coordsize="21600,21600" o:gfxdata="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uGoJ1gAAAAoBAAAPAAAAAAAAAAEAIAAAACIA&#10;AABkcnMvZG93bnJldi54bWxQSwECFAAUAAAACACHTuJAfvQu5AsCAADcAwAADgAAAAAAAAABACAA&#10;AAAlAQAAZHJzL2Uyb0RvYy54bWxQSwUGAAAAAAYABgBZAQAAogUAAAAA&#10;">
                            <v:fill on="f" focussize="0,0"/>
                            <v:stroke color="#FFFF00 [3204]" joinstyle="round" endarrow="open"/>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3850005</wp:posOffset>
                            </wp:positionH>
                            <wp:positionV relativeFrom="paragraph">
                              <wp:posOffset>3495040</wp:posOffset>
                            </wp:positionV>
                            <wp:extent cx="238125" cy="95250"/>
                            <wp:effectExtent l="12700" t="12700" r="15875" b="25400"/>
                            <wp:wrapNone/>
                            <wp:docPr id="8" name="矩形 8"/>
                            <wp:cNvGraphicFramePr/>
                            <a:graphic xmlns:a="http://schemas.openxmlformats.org/drawingml/2006/main">
                              <a:graphicData uri="http://schemas.microsoft.com/office/word/2010/wordprocessingShape">
                                <wps:wsp>
                                  <wps:cNvSpPr/>
                                  <wps:spPr>
                                    <a:xfrm>
                                      <a:off x="5461635" y="5758180"/>
                                      <a:ext cx="238125"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15pt;margin-top:275.2pt;height:7.5pt;width:18.75pt;z-index:251665408;v-text-anchor:middle;mso-width-relative:page;mso-height-relative:page;" filled="f" stroked="t" coordsize="21600,21600" o:gfxdata="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ow40A2QAAAAsBAAAPAAAAAAAAAAEAIAAAACIAAABkcnMvZG93bnJldi54bWxQ&#10;SwECFAAUAAAACACHTuJAYZoExGgCAAC+BAAADgAAAAAAAAABACAAAAAoAQAAZHJzL2Uyb0RvYy54&#10;bWxQSwUGAAAAAAYABgBZAQAAAgYAAAAA&#10;">
                            <v:fill on="f" focussize="0,0"/>
                            <v:stroke weight="2pt" color="#FF0000 [3204]" joinstyle="round"/>
                            <v:imagedata o:title=""/>
                            <o:lock v:ext="edit" aspectratio="f"/>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3764280</wp:posOffset>
                            </wp:positionH>
                            <wp:positionV relativeFrom="paragraph">
                              <wp:posOffset>3390265</wp:posOffset>
                            </wp:positionV>
                            <wp:extent cx="1362075" cy="534035"/>
                            <wp:effectExtent l="4445" t="4445" r="5080" b="13970"/>
                            <wp:wrapNone/>
                            <wp:docPr id="5" name="文本框 5"/>
                            <wp:cNvGraphicFramePr/>
                            <a:graphic xmlns:a="http://schemas.openxmlformats.org/drawingml/2006/main">
                              <a:graphicData uri="http://schemas.microsoft.com/office/word/2010/wordprocessingShape">
                                <wps:wsp>
                                  <wps:cNvSpPr txBox="1"/>
                                  <wps:spPr>
                                    <a:xfrm>
                                      <a:off x="4328160" y="6367780"/>
                                      <a:ext cx="1362075" cy="534035"/>
                                    </a:xfrm>
                                    <a:prstGeom prst="rect">
                                      <a:avLst/>
                                    </a:prstGeom>
                                    <a:solidFill>
                                      <a:schemeClr val="bg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color w:val="auto"/>
                                            <w:lang w:val="en-US" w:eastAsia="zh-CN"/>
                                          </w:rPr>
                                        </w:pPr>
                                        <w:r>
                                          <w:rPr>
                                            <w:rFonts w:hint="eastAsia"/>
                                            <w:color w:val="auto"/>
                                            <w:lang w:val="en-US" w:eastAsia="zh-CN"/>
                                          </w:rPr>
                                          <w:t>企业边界</w:t>
                                        </w:r>
                                      </w:p>
                                      <w:p>
                                        <w:pPr>
                                          <w:pStyle w:val="2"/>
                                          <w:rPr>
                                            <w:rFonts w:hint="default"/>
                                            <w:color w:val="auto"/>
                                            <w:lang w:val="en-US" w:eastAsia="zh-CN"/>
                                          </w:rPr>
                                        </w:pPr>
                                        <w:r>
                                          <w:rPr>
                                            <w:rFonts w:hint="default" w:ascii="Times New Roman" w:hAnsi="Times New Roman" w:eastAsia="宋体" w:cs="Times New Roman"/>
                                            <w:color w:val="FF0000"/>
                                            <w:kern w:val="2"/>
                                            <w:sz w:val="21"/>
                                            <w:szCs w:val="24"/>
                                            <w:lang w:val="en-US" w:eastAsia="zh-CN" w:bidi="ar-SA"/>
                                          </w:rPr>
                                          <w:t>★S1</w:t>
                                        </w:r>
                                        <w:r>
                                          <w:rPr>
                                            <w:rFonts w:hint="eastAsia" w:ascii="Times New Roman" w:hAnsi="Times New Roman" w:eastAsia="宋体" w:cs="Times New Roman"/>
                                            <w:color w:val="auto"/>
                                            <w:kern w:val="2"/>
                                            <w:sz w:val="21"/>
                                            <w:szCs w:val="24"/>
                                            <w:lang w:val="en-US" w:eastAsia="zh-CN" w:bidi="ar-SA"/>
                                          </w:rPr>
                                          <w:t xml:space="preserve"> </w:t>
                                        </w:r>
                                        <w:r>
                                          <w:rPr>
                                            <w:rFonts w:hint="default" w:ascii="Times New Roman" w:hAnsi="Times New Roman" w:eastAsia="宋体" w:cs="Times New Roman"/>
                                            <w:color w:val="auto"/>
                                            <w:kern w:val="2"/>
                                            <w:sz w:val="21"/>
                                            <w:szCs w:val="24"/>
                                            <w:lang w:val="en-US" w:eastAsia="zh-CN" w:bidi="ar-SA"/>
                                          </w:rPr>
                                          <w:t>废水测点位置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4pt;margin-top:266.95pt;height:42.05pt;width:107.25pt;z-index:251664384;mso-width-relative:page;mso-height-relative:page;" fillcolor="#FFFFFF [3212]" filled="t" stroked="t" coordsize="21600,21600" o:gfxdata="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VRXdNgAAAALAQAADwAAAAAAAAABACAAAAAiAAAAZHJzL2Rvd25yZXYueG1sUEsBAhQAFAAA&#10;AAgAh07iQDPjuXdhAgAAxAQAAA4AAAAAAAAAAQAgAAAAJwEAAGRycy9lMm9Eb2MueG1sUEsFBgAA&#10;AAAGAAYAWQEAAPoFAAAAAA==&#10;">
                            <v:fill on="t" focussize="0,0"/>
                            <v:stroke weight="0.5pt" color="#000000 [3213]" joinstyle="round"/>
                            <v:imagedata o:title=""/>
                            <o:lock v:ext="edit" aspectratio="f"/>
                            <v:textbox>
                              <w:txbxContent>
                                <w:p>
                                  <w:pPr>
                                    <w:ind w:firstLine="420" w:firstLineChars="200"/>
                                    <w:rPr>
                                      <w:rFonts w:hint="eastAsia"/>
                                      <w:color w:val="auto"/>
                                      <w:lang w:val="en-US" w:eastAsia="zh-CN"/>
                                    </w:rPr>
                                  </w:pPr>
                                  <w:r>
                                    <w:rPr>
                                      <w:rFonts w:hint="eastAsia"/>
                                      <w:color w:val="auto"/>
                                      <w:lang w:val="en-US" w:eastAsia="zh-CN"/>
                                    </w:rPr>
                                    <w:t>企业边界</w:t>
                                  </w:r>
                                </w:p>
                                <w:p>
                                  <w:pPr>
                                    <w:pStyle w:val="2"/>
                                    <w:rPr>
                                      <w:rFonts w:hint="default"/>
                                      <w:color w:val="auto"/>
                                      <w:lang w:val="en-US" w:eastAsia="zh-CN"/>
                                    </w:rPr>
                                  </w:pPr>
                                  <w:r>
                                    <w:rPr>
                                      <w:rFonts w:hint="default" w:ascii="Times New Roman" w:hAnsi="Times New Roman" w:eastAsia="宋体" w:cs="Times New Roman"/>
                                      <w:color w:val="FF0000"/>
                                      <w:kern w:val="2"/>
                                      <w:sz w:val="21"/>
                                      <w:szCs w:val="24"/>
                                      <w:lang w:val="en-US" w:eastAsia="zh-CN" w:bidi="ar-SA"/>
                                    </w:rPr>
                                    <w:t>★S1</w:t>
                                  </w:r>
                                  <w:r>
                                    <w:rPr>
                                      <w:rFonts w:hint="eastAsia" w:ascii="Times New Roman" w:hAnsi="Times New Roman" w:eastAsia="宋体" w:cs="Times New Roman"/>
                                      <w:color w:val="auto"/>
                                      <w:kern w:val="2"/>
                                      <w:sz w:val="21"/>
                                      <w:szCs w:val="24"/>
                                      <w:lang w:val="en-US" w:eastAsia="zh-CN" w:bidi="ar-SA"/>
                                    </w:rPr>
                                    <w:t xml:space="preserve"> </w:t>
                                  </w:r>
                                  <w:r>
                                    <w:rPr>
                                      <w:rFonts w:hint="default" w:ascii="Times New Roman" w:hAnsi="Times New Roman" w:eastAsia="宋体" w:cs="Times New Roman"/>
                                      <w:color w:val="auto"/>
                                      <w:kern w:val="2"/>
                                      <w:sz w:val="21"/>
                                      <w:szCs w:val="24"/>
                                      <w:lang w:val="en-US" w:eastAsia="zh-CN" w:bidi="ar-SA"/>
                                    </w:rPr>
                                    <w:t>废水测点位置</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3360" behindDoc="0" locked="0" layoutInCell="1" allowOverlap="1">
                            <wp:simplePos x="0" y="0"/>
                            <wp:positionH relativeFrom="column">
                              <wp:posOffset>4243705</wp:posOffset>
                            </wp:positionH>
                            <wp:positionV relativeFrom="paragraph">
                              <wp:posOffset>1811020</wp:posOffset>
                            </wp:positionV>
                            <wp:extent cx="709930" cy="449580"/>
                            <wp:effectExtent l="0" t="0" r="0" b="0"/>
                            <wp:wrapNone/>
                            <wp:docPr id="4" name="文本框 4"/>
                            <wp:cNvGraphicFramePr/>
                            <a:graphic xmlns:a="http://schemas.openxmlformats.org/drawingml/2006/main">
                              <a:graphicData uri="http://schemas.microsoft.com/office/word/2010/wordprocessingShape">
                                <wps:wsp>
                                  <wps:cNvSpPr txBox="1"/>
                                  <wps:spPr>
                                    <a:xfrm>
                                      <a:off x="5368925" y="5025390"/>
                                      <a:ext cx="709930" cy="449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default" w:ascii="Times New Roman" w:hAnsi="Times New Roman" w:eastAsia="宋体" w:cs="Times New Roman"/>
                                            <w:color w:val="FF0000"/>
                                            <w:lang w:val="en-US" w:eastAsia="zh-CN"/>
                                          </w:rPr>
                                          <w:t>★S1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15pt;margin-top:142.6pt;height:35.4pt;width:55.9pt;z-index:251663360;mso-width-relative:page;mso-height-relative:page;" filled="f" stroked="f" coordsize="21600,21600" o:gfxdata="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pgmfdwAAAALAQAADwAAAAAA&#10;AAABACAAAAAiAAAAZHJzL2Rvd25yZXYueG1sUEsBAhQAFAAAAAgAh07iQA6YvL5IAgAAcQQAAA4A&#10;AAAAAAAAAQAgAAAAKwEAAGRycy9lMm9Eb2MueG1sUEsFBgAAAAAGAAYAWQEAAOUFAAAAAA==&#10;">
                            <v:fill on="f" focussize="0,0"/>
                            <v:stroke on="f" weight="0.5pt"/>
                            <v:imagedata o:title=""/>
                            <o:lock v:ext="edit" aspectratio="f"/>
                            <v:textbox>
                              <w:txbxContent>
                                <w:p>
                                  <w:pPr>
                                    <w:rPr>
                                      <w:color w:val="FF0000"/>
                                    </w:rPr>
                                  </w:pPr>
                                  <w:r>
                                    <w:rPr>
                                      <w:rFonts w:hint="default" w:ascii="Times New Roman" w:hAnsi="Times New Roman" w:eastAsia="宋体" w:cs="Times New Roman"/>
                                      <w:color w:val="FF0000"/>
                                      <w:lang w:val="en-US" w:eastAsia="zh-CN"/>
                                    </w:rPr>
                                    <w:t>★S1</w:t>
                                  </w:r>
                                </w:p>
                              </w:txbxContent>
                            </v:textbox>
                          </v:shape>
                        </w:pict>
                      </mc:Fallback>
                    </mc:AlternateContent>
                  </w:r>
                  <w:r>
                    <w:rPr>
                      <w:rFonts w:hint="default" w:ascii="Times New Roman" w:hAnsi="Times New Roman" w:cs="Times New Roman"/>
                    </w:rPr>
                    <w:drawing>
                      <wp:inline distT="0" distB="0" distL="114300" distR="114300">
                        <wp:extent cx="5137150" cy="3911600"/>
                        <wp:effectExtent l="0" t="0" r="6350" b="1270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a:stretch>
                                  <a:fillRect/>
                                </a:stretch>
                              </pic:blipFill>
                              <pic:spPr>
                                <a:xfrm>
                                  <a:off x="0" y="0"/>
                                  <a:ext cx="5137150" cy="39116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w:t>
            </w:r>
            <w:r>
              <w:rPr>
                <w:rFonts w:hint="default" w:ascii="Times New Roman" w:hAnsi="Times New Roman" w:eastAsia="宋体" w:cs="Times New Roman"/>
                <w:b/>
                <w:bCs/>
                <w:sz w:val="24"/>
                <w:szCs w:val="24"/>
                <w:lang w:val="en-US" w:eastAsia="zh-CN"/>
              </w:rPr>
              <w:t>7</w:t>
            </w:r>
            <w:r>
              <w:rPr>
                <w:rFonts w:hint="default" w:ascii="Times New Roman" w:hAnsi="Times New Roman" w:eastAsia="宋体" w:cs="Times New Roman"/>
                <w:b/>
                <w:bCs/>
                <w:sz w:val="24"/>
                <w:szCs w:val="24"/>
              </w:rPr>
              <w:t>-1  废</w:t>
            </w:r>
            <w:r>
              <w:rPr>
                <w:rFonts w:hint="default" w:ascii="Times New Roman" w:hAnsi="Times New Roman" w:eastAsia="宋体" w:cs="Times New Roman"/>
                <w:b/>
                <w:bCs/>
                <w:sz w:val="24"/>
                <w:szCs w:val="24"/>
                <w:lang w:eastAsia="zh-CN"/>
              </w:rPr>
              <w:t>水</w:t>
            </w:r>
            <w:r>
              <w:rPr>
                <w:rFonts w:hint="default" w:ascii="Times New Roman" w:hAnsi="Times New Roman" w:eastAsia="宋体" w:cs="Times New Roman"/>
                <w:b/>
                <w:bCs/>
                <w:sz w:val="24"/>
                <w:szCs w:val="24"/>
              </w:rPr>
              <w:t>监测点位图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2、验收监测依据及标准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废水采样按生态环境部《污水监测技术规范》（HJ</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91</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-20</w:t>
            </w:r>
            <w:r>
              <w:rPr>
                <w:rFonts w:hint="default"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lang w:eastAsia="zh-CN"/>
              </w:rPr>
              <w:t>）及《建设项目竣工环境保护验收技术指南 污染影响类》中相关要求执行。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eastAsia="zh-CN"/>
              </w:rPr>
              <w:t>本项目生活污水经化粪池预处理后</w:t>
            </w:r>
            <w:r>
              <w:rPr>
                <w:rFonts w:hint="default" w:ascii="Times New Roman" w:hAnsi="Times New Roman" w:eastAsia="宋体" w:cs="Times New Roman"/>
                <w:color w:val="auto"/>
                <w:sz w:val="24"/>
                <w:szCs w:val="24"/>
                <w:lang w:val="en-US" w:eastAsia="zh-CN"/>
              </w:rPr>
              <w:t>接管至</w:t>
            </w:r>
            <w:r>
              <w:rPr>
                <w:rFonts w:hint="default" w:ascii="Times New Roman" w:hAnsi="Times New Roman" w:eastAsia="宋体" w:cs="Times New Roman"/>
                <w:sz w:val="24"/>
              </w:rPr>
              <w:t>张家港市给排水公司金港片区污水处理厂</w:t>
            </w:r>
            <w:r>
              <w:rPr>
                <w:rFonts w:hint="default" w:ascii="Times New Roman" w:hAnsi="Times New Roman" w:eastAsia="宋体" w:cs="Times New Roman"/>
                <w:color w:val="auto"/>
                <w:sz w:val="24"/>
                <w:szCs w:val="24"/>
                <w:lang w:val="zh-CN" w:eastAsia="zh-CN"/>
              </w:rPr>
              <w:t>处理，污水处理厂的接管标准</w:t>
            </w:r>
            <w:r>
              <w:rPr>
                <w:rFonts w:hint="default" w:ascii="Times New Roman" w:hAnsi="Times New Roman" w:eastAsia="宋体" w:cs="Times New Roman"/>
                <w:color w:val="auto"/>
                <w:sz w:val="24"/>
                <w:szCs w:val="24"/>
                <w:lang w:val="en-US" w:eastAsia="zh-CN"/>
              </w:rPr>
              <w:t>pH值</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zh-CN" w:eastAsia="zh-CN"/>
              </w:rPr>
              <w:t>悬浮物</w:t>
            </w:r>
            <w:r>
              <w:rPr>
                <w:rFonts w:hint="default" w:ascii="Times New Roman" w:hAnsi="Times New Roman" w:eastAsia="宋体" w:cs="Times New Roman"/>
                <w:color w:val="auto"/>
                <w:sz w:val="24"/>
                <w:szCs w:val="24"/>
                <w:lang w:val="en-US" w:eastAsia="zh-CN"/>
              </w:rPr>
              <w:t>和</w:t>
            </w:r>
            <w:r>
              <w:rPr>
                <w:rFonts w:hint="eastAsia" w:ascii="Times New Roman" w:hAnsi="Times New Roman" w:cs="Times New Roman"/>
                <w:color w:val="auto"/>
                <w:sz w:val="24"/>
                <w:szCs w:val="24"/>
                <w:lang w:val="en-US" w:eastAsia="zh-CN"/>
              </w:rPr>
              <w:t>化学需氧量</w:t>
            </w:r>
            <w:r>
              <w:rPr>
                <w:rFonts w:hint="default" w:ascii="Times New Roman" w:hAnsi="Times New Roman" w:eastAsia="宋体" w:cs="Times New Roman"/>
                <w:color w:val="auto"/>
                <w:sz w:val="24"/>
                <w:szCs w:val="24"/>
                <w:lang w:val="zh-CN" w:eastAsia="zh-CN"/>
              </w:rPr>
              <w:t>执行《污水综合排放标准》（GB</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zh-CN" w:eastAsia="zh-CN"/>
              </w:rPr>
              <w:t>8978-1996）表</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zh-CN" w:eastAsia="zh-CN"/>
              </w:rPr>
              <w:t>三级标准</w:t>
            </w:r>
            <w:r>
              <w:rPr>
                <w:rFonts w:hint="default" w:ascii="Times New Roman" w:hAnsi="Times New Roman"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氨氮</w:t>
            </w:r>
            <w:r>
              <w:rPr>
                <w:rFonts w:hint="default" w:ascii="Times New Roman" w:hAnsi="Times New Roman" w:eastAsia="宋体" w:cs="Times New Roman"/>
                <w:color w:val="auto"/>
                <w:sz w:val="24"/>
                <w:szCs w:val="24"/>
                <w:lang w:val="zh-CN" w:eastAsia="zh-CN"/>
              </w:rPr>
              <w:t>和</w:t>
            </w:r>
            <w:r>
              <w:rPr>
                <w:rFonts w:hint="default" w:ascii="Times New Roman" w:hAnsi="Times New Roman" w:eastAsia="宋体" w:cs="Times New Roman"/>
                <w:color w:val="auto"/>
                <w:sz w:val="24"/>
                <w:szCs w:val="24"/>
                <w:lang w:val="zh-CN" w:eastAsia="zh-CN"/>
              </w:rPr>
              <w:t>总磷执行</w:t>
            </w:r>
            <w:r>
              <w:rPr>
                <w:rFonts w:hint="default" w:ascii="Times New Roman" w:hAnsi="Times New Roman" w:cs="Times New Roman"/>
                <w:bCs/>
                <w:color w:val="000000"/>
                <w:sz w:val="24"/>
              </w:rPr>
              <w:t>《污水排入城镇下水道水质标准》（CJ343-2010）表1中的B级标准</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具体见表7-2</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表7-2  废水污染物排放标准</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2385"/>
              <w:gridCol w:w="1255"/>
              <w:gridCol w:w="1358"/>
              <w:gridCol w:w="1139"/>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33" w:type="pct"/>
                  <w:tcBorders>
                    <w:tl2br w:val="nil"/>
                    <w:tr2bl w:val="nil"/>
                  </w:tcBorders>
                  <w:noWrap w:val="0"/>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排放口名称</w:t>
                  </w:r>
                </w:p>
              </w:tc>
              <w:tc>
                <w:tcPr>
                  <w:tcW w:w="1437" w:type="pct"/>
                  <w:tcBorders>
                    <w:tl2br w:val="nil"/>
                    <w:tr2bl w:val="nil"/>
                  </w:tcBorders>
                  <w:noWrap w:val="0"/>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执行标准</w:t>
                  </w:r>
                </w:p>
              </w:tc>
              <w:tc>
                <w:tcPr>
                  <w:tcW w:w="756" w:type="pct"/>
                  <w:tcBorders>
                    <w:tl2br w:val="nil"/>
                    <w:tr2bl w:val="nil"/>
                  </w:tcBorders>
                  <w:noWrap w:val="0"/>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取值表号及级别</w:t>
                  </w:r>
                </w:p>
              </w:tc>
              <w:tc>
                <w:tcPr>
                  <w:tcW w:w="818" w:type="pct"/>
                  <w:tcBorders>
                    <w:tl2br w:val="nil"/>
                    <w:tr2bl w:val="nil"/>
                  </w:tcBorders>
                  <w:noWrap w:val="0"/>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污染物指标</w:t>
                  </w:r>
                </w:p>
              </w:tc>
              <w:tc>
                <w:tcPr>
                  <w:tcW w:w="686" w:type="pct"/>
                  <w:tcBorders>
                    <w:tl2br w:val="nil"/>
                    <w:tr2bl w:val="nil"/>
                  </w:tcBorders>
                  <w:noWrap w:val="0"/>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单位</w:t>
                  </w:r>
                </w:p>
              </w:tc>
              <w:tc>
                <w:tcPr>
                  <w:tcW w:w="666" w:type="pct"/>
                  <w:tcBorders>
                    <w:tl2br w:val="nil"/>
                    <w:tr2bl w:val="nil"/>
                  </w:tcBorders>
                  <w:noWrap w:val="0"/>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633" w:type="pct"/>
                  <w:vMerge w:val="restar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接管口S1</w:t>
                  </w:r>
                </w:p>
              </w:tc>
              <w:tc>
                <w:tcPr>
                  <w:tcW w:w="1437" w:type="pct"/>
                  <w:vMerge w:val="restar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《污水综合排放标准》（GB 8978-1996）</w:t>
                  </w:r>
                </w:p>
              </w:tc>
              <w:tc>
                <w:tcPr>
                  <w:tcW w:w="756" w:type="pct"/>
                  <w:vMerge w:val="restar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表4 三级</w:t>
                  </w:r>
                </w:p>
              </w:tc>
              <w:tc>
                <w:tcPr>
                  <w:tcW w:w="818" w:type="pc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pH值</w:t>
                  </w:r>
                </w:p>
              </w:tc>
              <w:tc>
                <w:tcPr>
                  <w:tcW w:w="686" w:type="pc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无量纲</w:t>
                  </w:r>
                </w:p>
              </w:tc>
              <w:tc>
                <w:tcPr>
                  <w:tcW w:w="666" w:type="pc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633" w:type="pct"/>
                  <w:vMerge w:val="continue"/>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p>
              </w:tc>
              <w:tc>
                <w:tcPr>
                  <w:tcW w:w="1437" w:type="pct"/>
                  <w:vMerge w:val="continue"/>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p>
              </w:tc>
              <w:tc>
                <w:tcPr>
                  <w:tcW w:w="756" w:type="pct"/>
                  <w:vMerge w:val="continue"/>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p>
              </w:tc>
              <w:tc>
                <w:tcPr>
                  <w:tcW w:w="818" w:type="pc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化学需氧量</w:t>
                  </w:r>
                </w:p>
              </w:tc>
              <w:tc>
                <w:tcPr>
                  <w:tcW w:w="686" w:type="pct"/>
                  <w:vMerge w:val="restar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c>
                <w:tcPr>
                  <w:tcW w:w="666" w:type="pc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33" w:type="pct"/>
                  <w:vMerge w:val="continue"/>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p>
              </w:tc>
              <w:tc>
                <w:tcPr>
                  <w:tcW w:w="1437" w:type="pct"/>
                  <w:vMerge w:val="continue"/>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p>
              </w:tc>
              <w:tc>
                <w:tcPr>
                  <w:tcW w:w="756" w:type="pct"/>
                  <w:vMerge w:val="continue"/>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p>
              </w:tc>
              <w:tc>
                <w:tcPr>
                  <w:tcW w:w="818" w:type="pc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悬浮物</w:t>
                  </w:r>
                </w:p>
              </w:tc>
              <w:tc>
                <w:tcPr>
                  <w:tcW w:w="686" w:type="pct"/>
                  <w:vMerge w:val="continue"/>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p>
              </w:tc>
              <w:tc>
                <w:tcPr>
                  <w:tcW w:w="666" w:type="pc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633" w:type="pct"/>
                  <w:vMerge w:val="continue"/>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p>
              </w:tc>
              <w:tc>
                <w:tcPr>
                  <w:tcW w:w="1437" w:type="pct"/>
                  <w:vMerge w:val="restar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《污水排入城镇下水道水质标准》（CJ343-2010）</w:t>
                  </w:r>
                </w:p>
              </w:tc>
              <w:tc>
                <w:tcPr>
                  <w:tcW w:w="756" w:type="pct"/>
                  <w:vMerge w:val="restar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表1 B级</w:t>
                  </w:r>
                </w:p>
              </w:tc>
              <w:tc>
                <w:tcPr>
                  <w:tcW w:w="818" w:type="pc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氨氮</w:t>
                  </w:r>
                </w:p>
              </w:tc>
              <w:tc>
                <w:tcPr>
                  <w:tcW w:w="686" w:type="pct"/>
                  <w:vMerge w:val="continue"/>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p>
              </w:tc>
              <w:tc>
                <w:tcPr>
                  <w:tcW w:w="666" w:type="pc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633" w:type="pct"/>
                  <w:vMerge w:val="continue"/>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p>
              </w:tc>
              <w:tc>
                <w:tcPr>
                  <w:tcW w:w="1437" w:type="pct"/>
                  <w:vMerge w:val="continue"/>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p>
              </w:tc>
              <w:tc>
                <w:tcPr>
                  <w:tcW w:w="756" w:type="pct"/>
                  <w:vMerge w:val="continue"/>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p>
              </w:tc>
              <w:tc>
                <w:tcPr>
                  <w:tcW w:w="818" w:type="pc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总磷</w:t>
                  </w:r>
                </w:p>
              </w:tc>
              <w:tc>
                <w:tcPr>
                  <w:tcW w:w="686" w:type="pct"/>
                  <w:vMerge w:val="continue"/>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p>
              </w:tc>
              <w:tc>
                <w:tcPr>
                  <w:tcW w:w="666" w:type="pct"/>
                  <w:tcBorders>
                    <w:tl2br w:val="nil"/>
                    <w:tr2bl w:val="nil"/>
                  </w:tcBorders>
                  <w:noWrap w:val="0"/>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废水接管口pH值、化学需氧量</w:t>
            </w:r>
            <w:r>
              <w:rPr>
                <w:rFonts w:hint="default" w:ascii="Times New Roman" w:hAnsi="Times New Roman" w:cs="Times New Roman"/>
                <w:color w:val="auto"/>
                <w:sz w:val="24"/>
                <w:szCs w:val="24"/>
                <w:lang w:val="zh-CN" w:eastAsia="zh-CN"/>
              </w:rPr>
              <w:t>、</w:t>
            </w:r>
            <w:r>
              <w:rPr>
                <w:rFonts w:hint="default" w:ascii="Times New Roman" w:hAnsi="Times New Roman" w:cs="Times New Roman"/>
                <w:color w:val="auto"/>
                <w:sz w:val="24"/>
                <w:szCs w:val="24"/>
                <w:lang w:val="en-US" w:eastAsia="zh-CN"/>
              </w:rPr>
              <w:t>悬浮物</w:t>
            </w:r>
            <w:r>
              <w:rPr>
                <w:rFonts w:hint="default" w:ascii="Times New Roman" w:hAnsi="Times New Roman" w:eastAsia="宋体" w:cs="Times New Roman"/>
                <w:color w:val="auto"/>
                <w:sz w:val="24"/>
                <w:szCs w:val="24"/>
                <w:lang w:val="zh-CN" w:eastAsia="zh-CN"/>
              </w:rPr>
              <w:t>浓度日均值均满足《污水综合排放标准》（GB</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zh-CN" w:eastAsia="zh-CN"/>
              </w:rPr>
              <w:t>8978-1996）表4中的三级标准限值要求</w:t>
            </w:r>
            <w:r>
              <w:rPr>
                <w:rFonts w:hint="default" w:ascii="Times New Roman" w:hAnsi="Times New Roman"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氨氮</w:t>
            </w:r>
            <w:r>
              <w:rPr>
                <w:rFonts w:hint="default" w:ascii="Times New Roman" w:hAnsi="Times New Roman" w:cs="Times New Roman"/>
                <w:color w:val="auto"/>
                <w:sz w:val="24"/>
                <w:szCs w:val="24"/>
                <w:lang w:val="en-US" w:eastAsia="zh-CN"/>
              </w:rPr>
              <w:t>和</w:t>
            </w:r>
            <w:r>
              <w:rPr>
                <w:rFonts w:hint="default" w:ascii="Times New Roman" w:hAnsi="Times New Roman" w:eastAsia="宋体" w:cs="Times New Roman"/>
                <w:color w:val="auto"/>
                <w:sz w:val="24"/>
                <w:szCs w:val="24"/>
                <w:lang w:val="zh-CN" w:eastAsia="zh-CN"/>
              </w:rPr>
              <w:t>总磷浓度日均值均满足</w:t>
            </w:r>
            <w:r>
              <w:rPr>
                <w:rFonts w:hint="default" w:ascii="Times New Roman" w:hAnsi="Times New Roman" w:cs="Times New Roman"/>
                <w:bCs/>
                <w:color w:val="000000"/>
                <w:sz w:val="24"/>
              </w:rPr>
              <w:t>《污水排入城镇下水道水质标准》（CJ343-2010）表1中的B级标准</w:t>
            </w:r>
            <w:r>
              <w:rPr>
                <w:rFonts w:hint="default" w:ascii="Times New Roman" w:hAnsi="Times New Roman" w:cs="Times New Roman"/>
                <w:bCs/>
                <w:color w:val="000000"/>
                <w:sz w:val="24"/>
                <w:lang w:val="en-US" w:eastAsia="zh-CN"/>
              </w:rPr>
              <w:t>限值要求</w:t>
            </w:r>
            <w:r>
              <w:rPr>
                <w:rFonts w:hint="default" w:ascii="Times New Roman" w:hAnsi="Times New Roman" w:eastAsia="宋体" w:cs="Times New Roman"/>
                <w:color w:val="auto"/>
                <w:sz w:val="24"/>
                <w:szCs w:val="24"/>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本次验收废水监测结果见表</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val="zh-CN" w:eastAsia="zh-CN"/>
              </w:rPr>
              <w:t>表</w:t>
            </w:r>
            <w:r>
              <w:rPr>
                <w:rFonts w:hint="default" w:ascii="Times New Roman" w:hAnsi="Times New Roman" w:eastAsia="宋体" w:cs="Times New Roman"/>
                <w:b/>
                <w:bCs/>
                <w:sz w:val="24"/>
                <w:szCs w:val="24"/>
                <w:lang w:eastAsia="zh-CN"/>
              </w:rPr>
              <w:t>7-</w:t>
            </w: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lang w:eastAsia="zh-CN"/>
              </w:rPr>
              <w:t xml:space="preserve">  接管废水监测结果表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29"/>
              <w:gridCol w:w="553"/>
              <w:gridCol w:w="1845"/>
              <w:gridCol w:w="1072"/>
              <w:gridCol w:w="1163"/>
              <w:gridCol w:w="979"/>
              <w:gridCol w:w="1072"/>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trPr>
              <w:tc>
                <w:tcPr>
                  <w:tcW w:w="319" w:type="pct"/>
                  <w:vMerge w:val="restart"/>
                  <w:shd w:val="clear" w:color="auto" w:fill="auto"/>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监测点位</w:t>
                  </w:r>
                </w:p>
              </w:tc>
              <w:tc>
                <w:tcPr>
                  <w:tcW w:w="333" w:type="pct"/>
                  <w:vMerge w:val="restart"/>
                  <w:shd w:val="clear" w:color="auto" w:fill="auto"/>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监测日期</w:t>
                  </w:r>
                </w:p>
              </w:tc>
              <w:tc>
                <w:tcPr>
                  <w:tcW w:w="1112" w:type="pct"/>
                  <w:vMerge w:val="restart"/>
                  <w:shd w:val="clear" w:color="auto" w:fill="auto"/>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样品编号</w:t>
                  </w:r>
                </w:p>
              </w:tc>
              <w:tc>
                <w:tcPr>
                  <w:tcW w:w="3234" w:type="pct"/>
                  <w:gridSpan w:val="5"/>
                  <w:shd w:val="clear" w:color="auto" w:fill="auto"/>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监测项目（单位：mg/L，pH值无量纲）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8" w:hRule="atLeast"/>
              </w:trPr>
              <w:tc>
                <w:tcPr>
                  <w:tcW w:w="319" w:type="pct"/>
                  <w:vMerge w:val="continue"/>
                  <w:shd w:val="clear" w:color="auto" w:fill="auto"/>
                  <w:vAlign w:val="center"/>
                </w:tcPr>
                <w:p>
                  <w:pPr>
                    <w:pStyle w:val="50"/>
                    <w:bidi w:val="0"/>
                    <w:rPr>
                      <w:rFonts w:hint="default" w:ascii="Times New Roman" w:hAnsi="Times New Roman" w:cs="Times New Roman"/>
                      <w:b/>
                      <w:bCs/>
                      <w:sz w:val="21"/>
                      <w:szCs w:val="21"/>
                      <w:lang w:val="en-US" w:eastAsia="zh-CN"/>
                    </w:rPr>
                  </w:pPr>
                </w:p>
              </w:tc>
              <w:tc>
                <w:tcPr>
                  <w:tcW w:w="333" w:type="pct"/>
                  <w:vMerge w:val="continue"/>
                  <w:shd w:val="clear" w:color="auto" w:fill="auto"/>
                  <w:vAlign w:val="center"/>
                </w:tcPr>
                <w:p>
                  <w:pPr>
                    <w:pStyle w:val="50"/>
                    <w:bidi w:val="0"/>
                    <w:rPr>
                      <w:rFonts w:hint="default" w:ascii="Times New Roman" w:hAnsi="Times New Roman" w:cs="Times New Roman"/>
                      <w:b/>
                      <w:bCs/>
                      <w:sz w:val="21"/>
                      <w:szCs w:val="21"/>
                      <w:lang w:val="en-US" w:eastAsia="zh-CN"/>
                    </w:rPr>
                  </w:pPr>
                </w:p>
              </w:tc>
              <w:tc>
                <w:tcPr>
                  <w:tcW w:w="1112" w:type="pct"/>
                  <w:vMerge w:val="continue"/>
                  <w:shd w:val="clear" w:color="auto" w:fill="auto"/>
                  <w:vAlign w:val="center"/>
                </w:tcPr>
                <w:p>
                  <w:pPr>
                    <w:pStyle w:val="50"/>
                    <w:bidi w:val="0"/>
                    <w:rPr>
                      <w:rFonts w:hint="default" w:ascii="Times New Roman" w:hAnsi="Times New Roman" w:cs="Times New Roman"/>
                      <w:b/>
                      <w:bCs/>
                      <w:sz w:val="21"/>
                      <w:szCs w:val="21"/>
                      <w:lang w:val="en-US" w:eastAsia="zh-CN"/>
                    </w:rPr>
                  </w:pPr>
                </w:p>
              </w:tc>
              <w:tc>
                <w:tcPr>
                  <w:tcW w:w="646" w:type="pct"/>
                  <w:shd w:val="clear" w:color="auto" w:fill="auto"/>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pH值</w:t>
                  </w:r>
                </w:p>
              </w:tc>
              <w:tc>
                <w:tcPr>
                  <w:tcW w:w="701" w:type="pct"/>
                  <w:shd w:val="clear" w:color="auto" w:fill="auto"/>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化学需氧量</w:t>
                  </w:r>
                </w:p>
              </w:tc>
              <w:tc>
                <w:tcPr>
                  <w:tcW w:w="590" w:type="pct"/>
                  <w:shd w:val="clear" w:color="auto" w:fill="auto"/>
                  <w:vAlign w:val="center"/>
                </w:tcPr>
                <w:p>
                  <w:pPr>
                    <w:pStyle w:val="50"/>
                    <w:bidi w:val="0"/>
                    <w:rPr>
                      <w:rFonts w:hint="default" w:ascii="Times New Roman" w:hAnsi="Times New Roman" w:eastAsia="宋体" w:cs="Times New Roman"/>
                      <w:b/>
                      <w:bCs/>
                      <w:snapToGrid w:val="0"/>
                      <w:kern w:val="0"/>
                      <w:sz w:val="21"/>
                      <w:szCs w:val="21"/>
                      <w:lang w:val="en-US" w:eastAsia="zh-CN" w:bidi="ar-SA"/>
                    </w:rPr>
                  </w:pPr>
                  <w:r>
                    <w:rPr>
                      <w:rFonts w:hint="default" w:ascii="Times New Roman" w:hAnsi="Times New Roman" w:cs="Times New Roman"/>
                      <w:b/>
                      <w:bCs/>
                      <w:sz w:val="21"/>
                      <w:szCs w:val="21"/>
                      <w:lang w:val="en-US" w:eastAsia="zh-CN"/>
                    </w:rPr>
                    <w:t>氨氮</w:t>
                  </w:r>
                </w:p>
              </w:tc>
              <w:tc>
                <w:tcPr>
                  <w:tcW w:w="646" w:type="pct"/>
                  <w:shd w:val="clear" w:color="auto" w:fill="auto"/>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悬浮物</w:t>
                  </w:r>
                </w:p>
              </w:tc>
              <w:tc>
                <w:tcPr>
                  <w:tcW w:w="649" w:type="pct"/>
                  <w:shd w:val="clear" w:color="auto" w:fill="auto"/>
                  <w:vAlign w:val="center"/>
                </w:tcPr>
                <w:p>
                  <w:pPr>
                    <w:pStyle w:val="50"/>
                    <w:bidi w:val="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19" w:type="pct"/>
                  <w:vMerge w:val="restar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接管口S1</w:t>
                  </w:r>
                </w:p>
              </w:tc>
              <w:tc>
                <w:tcPr>
                  <w:tcW w:w="333" w:type="pct"/>
                  <w:vMerge w:val="restar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5月26日</w:t>
                  </w:r>
                </w:p>
              </w:tc>
              <w:tc>
                <w:tcPr>
                  <w:tcW w:w="1112"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202205851 S1-1-1</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701"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64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19"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333"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1112"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202205851 S1-1-2</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8.6</w:t>
                  </w:r>
                </w:p>
              </w:tc>
              <w:tc>
                <w:tcPr>
                  <w:tcW w:w="70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134</w:t>
                  </w:r>
                </w:p>
              </w:tc>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14.6</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w:t>
                  </w:r>
                </w:p>
              </w:tc>
              <w:tc>
                <w:tcPr>
                  <w:tcW w:w="64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19"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333"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1112"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202205851 S1-1-3</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8.6</w:t>
                  </w:r>
                </w:p>
              </w:tc>
              <w:tc>
                <w:tcPr>
                  <w:tcW w:w="70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140</w:t>
                  </w:r>
                </w:p>
              </w:tc>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14.9</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64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19"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333"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1112"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日均值/范围</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8.5~8.6</w:t>
                  </w:r>
                </w:p>
              </w:tc>
              <w:tc>
                <w:tcPr>
                  <w:tcW w:w="70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139</w:t>
                  </w:r>
                </w:p>
              </w:tc>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14.8</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29 </w:t>
                  </w:r>
                </w:p>
              </w:tc>
              <w:tc>
                <w:tcPr>
                  <w:tcW w:w="64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19"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333"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1112" w:type="pct"/>
                  <w:shd w:val="clear" w:color="auto" w:fill="auto"/>
                  <w:vAlign w:val="center"/>
                </w:tcPr>
                <w:p>
                  <w:pPr>
                    <w:pStyle w:val="50"/>
                    <w:bidi w:val="0"/>
                    <w:rPr>
                      <w:rFonts w:hint="default" w:ascii="Times New Roman" w:hAnsi="Times New Roman" w:cs="Times New Roman"/>
                      <w:sz w:val="21"/>
                      <w:szCs w:val="21"/>
                      <w:lang w:val="en-US" w:eastAsia="zh-CN"/>
                    </w:rPr>
                  </w:pPr>
                  <w:r>
                    <w:rPr>
                      <w:rFonts w:hint="eastAsia" w:cs="Times New Roman"/>
                      <w:sz w:val="21"/>
                      <w:szCs w:val="21"/>
                      <w:lang w:val="en-US" w:eastAsia="zh-CN"/>
                    </w:rPr>
                    <w:t>标准限值</w:t>
                  </w:r>
                </w:p>
              </w:tc>
              <w:tc>
                <w:tcPr>
                  <w:tcW w:w="646"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6～9</w:t>
                  </w:r>
                </w:p>
              </w:tc>
              <w:tc>
                <w:tcPr>
                  <w:tcW w:w="701"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500</w:t>
                  </w:r>
                </w:p>
              </w:tc>
              <w:tc>
                <w:tcPr>
                  <w:tcW w:w="590" w:type="pct"/>
                  <w:shd w:val="clear" w:color="auto" w:fill="auto"/>
                  <w:vAlign w:val="center"/>
                </w:tcPr>
                <w:p>
                  <w:pPr>
                    <w:pStyle w:val="50"/>
                    <w:bidi w:val="0"/>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z w:val="21"/>
                      <w:szCs w:val="21"/>
                      <w:lang w:val="en-US" w:eastAsia="zh-CN"/>
                    </w:rPr>
                    <w:t>45</w:t>
                  </w:r>
                </w:p>
              </w:tc>
              <w:tc>
                <w:tcPr>
                  <w:tcW w:w="646"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400</w:t>
                  </w:r>
                </w:p>
              </w:tc>
              <w:tc>
                <w:tcPr>
                  <w:tcW w:w="649"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19"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333"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1112"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达标情况</w:t>
                  </w:r>
                </w:p>
              </w:tc>
              <w:tc>
                <w:tcPr>
                  <w:tcW w:w="646"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c>
                <w:tcPr>
                  <w:tcW w:w="701"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c>
                <w:tcPr>
                  <w:tcW w:w="590"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c>
                <w:tcPr>
                  <w:tcW w:w="646"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c>
                <w:tcPr>
                  <w:tcW w:w="649"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19"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333" w:type="pct"/>
                  <w:vMerge w:val="restar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5月27日</w:t>
                  </w:r>
                </w:p>
              </w:tc>
              <w:tc>
                <w:tcPr>
                  <w:tcW w:w="1112"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202205851 S1-2-1</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8.6</w:t>
                  </w:r>
                </w:p>
              </w:tc>
              <w:tc>
                <w:tcPr>
                  <w:tcW w:w="70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126</w:t>
                  </w:r>
                </w:p>
              </w:tc>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12.1</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w:t>
                  </w:r>
                </w:p>
              </w:tc>
              <w:tc>
                <w:tcPr>
                  <w:tcW w:w="64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19"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333"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1112"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202205851 S1-2-2</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8.5</w:t>
                  </w:r>
                </w:p>
              </w:tc>
              <w:tc>
                <w:tcPr>
                  <w:tcW w:w="70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129</w:t>
                  </w:r>
                </w:p>
              </w:tc>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12.3</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w:t>
                  </w:r>
                </w:p>
              </w:tc>
              <w:tc>
                <w:tcPr>
                  <w:tcW w:w="64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19"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333"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1112"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202205851 S1-2-3</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8.5</w:t>
                  </w:r>
                </w:p>
              </w:tc>
              <w:tc>
                <w:tcPr>
                  <w:tcW w:w="70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132</w:t>
                  </w:r>
                </w:p>
              </w:tc>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12.2</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64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19"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333"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1112"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日均值/范围</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8.5~8.6</w:t>
                  </w:r>
                </w:p>
              </w:tc>
              <w:tc>
                <w:tcPr>
                  <w:tcW w:w="70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129 </w:t>
                  </w:r>
                </w:p>
              </w:tc>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12.2 </w:t>
                  </w:r>
                </w:p>
              </w:tc>
              <w:tc>
                <w:tcPr>
                  <w:tcW w:w="64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31 </w:t>
                  </w:r>
                </w:p>
              </w:tc>
              <w:tc>
                <w:tcPr>
                  <w:tcW w:w="64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19"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333"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1112" w:type="pct"/>
                  <w:shd w:val="clear" w:color="auto" w:fill="auto"/>
                  <w:vAlign w:val="center"/>
                </w:tcPr>
                <w:p>
                  <w:pPr>
                    <w:pStyle w:val="50"/>
                    <w:bidi w:val="0"/>
                    <w:rPr>
                      <w:rFonts w:hint="default" w:ascii="Times New Roman" w:hAnsi="Times New Roman" w:cs="Times New Roman"/>
                      <w:sz w:val="21"/>
                      <w:szCs w:val="21"/>
                      <w:lang w:val="en-US" w:eastAsia="zh-CN"/>
                    </w:rPr>
                  </w:pPr>
                  <w:r>
                    <w:rPr>
                      <w:rFonts w:hint="eastAsia" w:cs="Times New Roman"/>
                      <w:sz w:val="21"/>
                      <w:szCs w:val="21"/>
                      <w:lang w:val="en-US" w:eastAsia="zh-CN"/>
                    </w:rPr>
                    <w:t>标准限值</w:t>
                  </w:r>
                </w:p>
              </w:tc>
              <w:tc>
                <w:tcPr>
                  <w:tcW w:w="646" w:type="pct"/>
                  <w:shd w:val="clear" w:color="auto" w:fill="auto"/>
                  <w:vAlign w:val="center"/>
                </w:tcPr>
                <w:p>
                  <w:pPr>
                    <w:pStyle w:val="50"/>
                    <w:bidi w:val="0"/>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z w:val="21"/>
                      <w:szCs w:val="21"/>
                      <w:lang w:val="en-US" w:eastAsia="zh-CN"/>
                    </w:rPr>
                    <w:t>6～9</w:t>
                  </w:r>
                </w:p>
              </w:tc>
              <w:tc>
                <w:tcPr>
                  <w:tcW w:w="701" w:type="pct"/>
                  <w:shd w:val="clear" w:color="auto" w:fill="auto"/>
                  <w:vAlign w:val="center"/>
                </w:tcPr>
                <w:p>
                  <w:pPr>
                    <w:pStyle w:val="50"/>
                    <w:bidi w:val="0"/>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z w:val="21"/>
                      <w:szCs w:val="21"/>
                      <w:lang w:val="en-US" w:eastAsia="zh-CN"/>
                    </w:rPr>
                    <w:t>500</w:t>
                  </w:r>
                </w:p>
              </w:tc>
              <w:tc>
                <w:tcPr>
                  <w:tcW w:w="590" w:type="pct"/>
                  <w:shd w:val="clear" w:color="auto" w:fill="auto"/>
                  <w:vAlign w:val="center"/>
                </w:tcPr>
                <w:p>
                  <w:pPr>
                    <w:pStyle w:val="50"/>
                    <w:bidi w:val="0"/>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z w:val="21"/>
                      <w:szCs w:val="21"/>
                      <w:lang w:val="en-US" w:eastAsia="zh-CN"/>
                    </w:rPr>
                    <w:t>45</w:t>
                  </w:r>
                </w:p>
              </w:tc>
              <w:tc>
                <w:tcPr>
                  <w:tcW w:w="646" w:type="pct"/>
                  <w:shd w:val="clear" w:color="auto" w:fill="auto"/>
                  <w:vAlign w:val="center"/>
                </w:tcPr>
                <w:p>
                  <w:pPr>
                    <w:pStyle w:val="50"/>
                    <w:bidi w:val="0"/>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z w:val="21"/>
                      <w:szCs w:val="21"/>
                      <w:lang w:val="en-US" w:eastAsia="zh-CN"/>
                    </w:rPr>
                    <w:t>400</w:t>
                  </w:r>
                </w:p>
              </w:tc>
              <w:tc>
                <w:tcPr>
                  <w:tcW w:w="649" w:type="pct"/>
                  <w:shd w:val="clear" w:color="auto" w:fill="auto"/>
                  <w:vAlign w:val="center"/>
                </w:tcPr>
                <w:p>
                  <w:pPr>
                    <w:pStyle w:val="50"/>
                    <w:bidi w:val="0"/>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19"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333" w:type="pct"/>
                  <w:vMerge w:val="continue"/>
                  <w:shd w:val="clear" w:color="auto" w:fill="auto"/>
                  <w:vAlign w:val="center"/>
                </w:tcPr>
                <w:p>
                  <w:pPr>
                    <w:pStyle w:val="50"/>
                    <w:bidi w:val="0"/>
                    <w:rPr>
                      <w:rFonts w:hint="default" w:ascii="Times New Roman" w:hAnsi="Times New Roman" w:cs="Times New Roman"/>
                      <w:sz w:val="21"/>
                      <w:szCs w:val="21"/>
                      <w:lang w:val="en-US" w:eastAsia="zh-CN"/>
                    </w:rPr>
                  </w:pPr>
                </w:p>
              </w:tc>
              <w:tc>
                <w:tcPr>
                  <w:tcW w:w="1112"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达标情况</w:t>
                  </w:r>
                </w:p>
              </w:tc>
              <w:tc>
                <w:tcPr>
                  <w:tcW w:w="646"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c>
                <w:tcPr>
                  <w:tcW w:w="701"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c>
                <w:tcPr>
                  <w:tcW w:w="590"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c>
                <w:tcPr>
                  <w:tcW w:w="646"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c>
                <w:tcPr>
                  <w:tcW w:w="649" w:type="pct"/>
                  <w:shd w:val="clear" w:color="auto" w:fill="auto"/>
                  <w:vAlign w:val="center"/>
                </w:tcPr>
                <w:p>
                  <w:pPr>
                    <w:pStyle w:val="5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rPr>
            </w:pPr>
          </w:p>
        </w:tc>
      </w:tr>
    </w:tbl>
    <w:p>
      <w:pPr>
        <w:jc w:val="left"/>
        <w:rPr>
          <w:rFonts w:hint="default" w:ascii="Times New Roman" w:hAnsi="Times New Roman" w:eastAsia="宋体" w:cs="Times New Roman"/>
          <w:sz w:val="32"/>
          <w:szCs w:val="32"/>
        </w:rPr>
      </w:pPr>
      <w:r>
        <w:rPr>
          <w:rFonts w:hint="default" w:ascii="Times New Roman" w:hAnsi="Times New Roman" w:eastAsia="宋体" w:cs="Times New Roman"/>
          <w:sz w:val="32"/>
          <w:szCs w:val="32"/>
        </w:rPr>
        <w:br w:type="page"/>
      </w:r>
    </w:p>
    <w:p>
      <w:pPr>
        <w:pStyle w:val="3"/>
        <w:keepNext/>
        <w:keepLines/>
        <w:pageBreakBefore/>
        <w:bidi w:val="0"/>
        <w:spacing w:before="0" w:beforeAutospacing="0" w:after="0" w:afterLines="0" w:afterAutospacing="0" w:line="360" w:lineRule="auto"/>
        <w:ind w:firstLine="0" w:firstLineChars="0"/>
        <w:jc w:val="both"/>
        <w:outlineLvl w:val="0"/>
        <w:rPr>
          <w:rFonts w:hint="default" w:ascii="Times New Roman" w:hAnsi="Times New Roman" w:eastAsia="宋体" w:cs="Times New Roman"/>
          <w:sz w:val="28"/>
          <w:szCs w:val="24"/>
          <w:lang w:val="zh-CN" w:bidi="ar-SA"/>
        </w:rPr>
      </w:pPr>
      <w:bookmarkStart w:id="9" w:name="_Toc21583"/>
      <w:r>
        <w:rPr>
          <w:rFonts w:hint="default" w:ascii="Times New Roman" w:hAnsi="Times New Roman" w:eastAsia="宋体" w:cs="Times New Roman"/>
          <w:sz w:val="28"/>
          <w:szCs w:val="24"/>
          <w:lang w:val="zh-CN" w:bidi="ar-SA"/>
        </w:rPr>
        <w:t>表八、噪声</w:t>
      </w:r>
      <w:r>
        <w:rPr>
          <w:rFonts w:hint="default" w:ascii="Times New Roman" w:hAnsi="Times New Roman" w:eastAsia="宋体" w:cs="Times New Roman"/>
          <w:sz w:val="28"/>
          <w:szCs w:val="24"/>
          <w:lang w:val="zh-CN" w:eastAsia="zh-CN" w:bidi="ar-SA"/>
        </w:rPr>
        <w:t>监测内容及结果评价</w:t>
      </w:r>
      <w:bookmarkEnd w:id="9"/>
    </w:p>
    <w:tbl>
      <w:tblPr>
        <w:tblStyle w:val="18"/>
        <w:tblpPr w:leftFromText="180" w:rightFromText="180" w:vertAnchor="page" w:horzAnchor="page" w:tblpX="1780" w:tblpY="2211"/>
        <w:tblW w:w="8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5" w:hRule="atLeast"/>
        </w:trPr>
        <w:tc>
          <w:tcPr>
            <w:tcW w:w="8537" w:type="dxa"/>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1、监测内容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sz w:val="24"/>
                <w:szCs w:val="24"/>
                <w:lang w:eastAsia="zh-CN"/>
              </w:rPr>
            </w:pPr>
            <w:r>
              <w:rPr>
                <w:rFonts w:hint="default"/>
                <w:sz w:val="24"/>
                <w:szCs w:val="24"/>
              </w:rPr>
              <w:t>项目</w:t>
            </w:r>
            <w:r>
              <w:rPr>
                <w:rFonts w:hint="default"/>
                <w:sz w:val="24"/>
                <w:szCs w:val="24"/>
                <w:lang w:eastAsia="zh-CN"/>
              </w:rPr>
              <w:t>北侧、</w:t>
            </w:r>
            <w:r>
              <w:rPr>
                <w:rFonts w:hint="default"/>
                <w:sz w:val="24"/>
                <w:szCs w:val="24"/>
                <w:lang w:val="en-US" w:eastAsia="zh-CN"/>
              </w:rPr>
              <w:t>南侧</w:t>
            </w:r>
            <w:r>
              <w:rPr>
                <w:rFonts w:hint="default"/>
                <w:sz w:val="24"/>
                <w:szCs w:val="24"/>
                <w:lang w:eastAsia="zh-CN"/>
              </w:rPr>
              <w:t>邻厂，仅东侧、西侧厂界外各布设</w:t>
            </w:r>
            <w:r>
              <w:rPr>
                <w:rFonts w:hint="default"/>
                <w:sz w:val="24"/>
                <w:szCs w:val="24"/>
                <w:lang w:val="en-US" w:eastAsia="zh-CN"/>
              </w:rPr>
              <w:t>1</w:t>
            </w:r>
            <w:r>
              <w:rPr>
                <w:rFonts w:hint="default"/>
                <w:sz w:val="24"/>
                <w:szCs w:val="24"/>
                <w:lang w:eastAsia="zh-CN"/>
              </w:rPr>
              <w:t>个噪声监测点位，</w:t>
            </w:r>
            <w:r>
              <w:rPr>
                <w:rFonts w:hint="default"/>
                <w:sz w:val="24"/>
                <w:szCs w:val="24"/>
              </w:rPr>
              <w:t>噪声监测内容见表</w:t>
            </w:r>
            <w:r>
              <w:rPr>
                <w:rFonts w:hint="default"/>
                <w:sz w:val="24"/>
                <w:szCs w:val="24"/>
                <w:lang w:val="en-US" w:eastAsia="zh-CN"/>
              </w:rPr>
              <w:t>8-</w:t>
            </w:r>
            <w:r>
              <w:rPr>
                <w:rFonts w:hint="default"/>
                <w:sz w:val="24"/>
                <w:szCs w:val="24"/>
              </w:rPr>
              <w:t>1，监测点位见图</w:t>
            </w:r>
            <w:r>
              <w:rPr>
                <w:rFonts w:hint="default"/>
                <w:sz w:val="24"/>
                <w:szCs w:val="24"/>
                <w:lang w:val="en-US" w:eastAsia="zh-CN"/>
              </w:rPr>
              <w:t>8</w:t>
            </w:r>
            <w:r>
              <w:rPr>
                <w:rFonts w:hint="default"/>
                <w:sz w:val="24"/>
                <w:szCs w:val="24"/>
              </w:rPr>
              <w:t>-1</w:t>
            </w:r>
            <w:r>
              <w:rPr>
                <w:rFonts w:hint="eastAsia"/>
                <w:sz w:val="24"/>
                <w:szCs w:val="24"/>
                <w:lang w:eastAsia="zh-CN"/>
              </w:rPr>
              <w:t>、</w:t>
            </w:r>
            <w:r>
              <w:rPr>
                <w:rFonts w:hint="eastAsia"/>
                <w:sz w:val="24"/>
                <w:szCs w:val="24"/>
                <w:lang w:val="en-US" w:eastAsia="zh-CN"/>
              </w:rPr>
              <w:t>图8-2</w:t>
            </w:r>
            <w:r>
              <w:rPr>
                <w:rFonts w:hint="default"/>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default" w:ascii="Times New Roman" w:hAnsi="Times New Roman" w:eastAsia="宋体" w:cs="Times New Roman"/>
                <w:b/>
                <w:bCs/>
                <w:sz w:val="24"/>
                <w:szCs w:val="24"/>
                <w:lang w:val="en-US" w:eastAsia="zh-CN"/>
              </w:rPr>
              <w:t>8</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lang w:val="en-US" w:eastAsia="zh-CN"/>
              </w:rPr>
              <w:t xml:space="preserve">1  </w:t>
            </w:r>
            <w:r>
              <w:rPr>
                <w:rFonts w:hint="default" w:ascii="Times New Roman" w:hAnsi="Times New Roman" w:eastAsia="宋体" w:cs="Times New Roman"/>
                <w:b/>
                <w:bCs/>
                <w:sz w:val="24"/>
                <w:szCs w:val="24"/>
                <w:lang w:eastAsia="zh-CN"/>
              </w:rPr>
              <w:t>噪声监测点位、监测项目和监测频次</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2927"/>
              <w:gridCol w:w="1539"/>
              <w:gridCol w:w="2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45" w:type="pct"/>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20" w:right="0" w:rightChars="0"/>
                    <w:jc w:val="center"/>
                    <w:textAlignment w:val="auto"/>
                    <w:outlineLvl w:val="9"/>
                    <w:rPr>
                      <w:rFonts w:hint="default"/>
                    </w:rPr>
                  </w:pPr>
                  <w:r>
                    <w:rPr>
                      <w:rFonts w:hint="default"/>
                    </w:rPr>
                    <w:t>噪声类型</w:t>
                  </w:r>
                </w:p>
              </w:tc>
              <w:tc>
                <w:tcPr>
                  <w:tcW w:w="1761" w:type="pct"/>
                  <w:tcBorders>
                    <w:left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default"/>
                    </w:rPr>
                  </w:pPr>
                  <w:r>
                    <w:rPr>
                      <w:rFonts w:hint="default"/>
                    </w:rPr>
                    <w:t>监测点位</w:t>
                  </w:r>
                </w:p>
              </w:tc>
              <w:tc>
                <w:tcPr>
                  <w:tcW w:w="926" w:type="pct"/>
                  <w:tcBorders>
                    <w:right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default"/>
                    </w:rPr>
                  </w:pPr>
                  <w:r>
                    <w:rPr>
                      <w:rFonts w:hint="default"/>
                    </w:rPr>
                    <w:t>监测项目</w:t>
                  </w:r>
                </w:p>
              </w:tc>
              <w:tc>
                <w:tcPr>
                  <w:tcW w:w="1266" w:type="pct"/>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default"/>
                    </w:rPr>
                  </w:pPr>
                  <w:r>
                    <w:rPr>
                      <w:rFonts w:hint="default"/>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45" w:type="pct"/>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default"/>
                      <w:lang w:val="en-US" w:eastAsia="zh-CN"/>
                    </w:rPr>
                  </w:pPr>
                  <w:r>
                    <w:rPr>
                      <w:rFonts w:hint="default"/>
                      <w:lang w:val="en-US" w:eastAsia="zh-CN"/>
                    </w:rPr>
                    <w:t>厂界噪声</w:t>
                  </w:r>
                </w:p>
              </w:tc>
              <w:tc>
                <w:tcPr>
                  <w:tcW w:w="1761" w:type="pct"/>
                  <w:tcBorders>
                    <w:left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default"/>
                      <w:lang w:val="en-US" w:eastAsia="zh-CN"/>
                    </w:rPr>
                  </w:pPr>
                  <w:r>
                    <w:rPr>
                      <w:rFonts w:hint="default"/>
                      <w:lang w:val="en-US" w:eastAsia="zh-CN"/>
                    </w:rPr>
                    <w:t>厂界外1米N1-N2</w:t>
                  </w:r>
                </w:p>
              </w:tc>
              <w:tc>
                <w:tcPr>
                  <w:tcW w:w="926" w:type="pct"/>
                  <w:tcBorders>
                    <w:right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default"/>
                      <w:lang w:val="en-US" w:eastAsia="zh-CN"/>
                    </w:rPr>
                  </w:pPr>
                  <w:r>
                    <w:rPr>
                      <w:rFonts w:hint="default"/>
                      <w:lang w:val="en-US" w:eastAsia="zh-CN"/>
                    </w:rPr>
                    <w:t>等效声级值</w:t>
                  </w:r>
                </w:p>
              </w:tc>
              <w:tc>
                <w:tcPr>
                  <w:tcW w:w="1266" w:type="pct"/>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default"/>
                      <w:lang w:val="en-US" w:eastAsia="zh-CN"/>
                    </w:rPr>
                  </w:pPr>
                  <w:r>
                    <w:rPr>
                      <w:rFonts w:hint="eastAsia"/>
                      <w:lang w:val="en-US" w:eastAsia="zh-CN"/>
                    </w:rPr>
                    <w:t>连续</w:t>
                  </w:r>
                  <w:r>
                    <w:rPr>
                      <w:rFonts w:hint="default"/>
                      <w:lang w:val="en-US" w:eastAsia="zh-CN"/>
                    </w:rPr>
                    <w:t>监测2天，昼间1次</w:t>
                  </w:r>
                </w:p>
              </w:tc>
            </w:tr>
          </w:tbl>
          <w:tbl>
            <w:tblPr>
              <w:tblStyle w:val="19"/>
              <w:tblpPr w:leftFromText="180" w:rightFromText="180" w:vertAnchor="text" w:horzAnchor="page" w:tblpX="130" w:tblpY="310"/>
              <w:tblOverlap w:val="never"/>
              <w:tblW w:w="83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7" w:hRule="atLeast"/>
              </w:trPr>
              <w:tc>
                <w:tcPr>
                  <w:tcW w:w="8316" w:type="dxa"/>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lang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3640455</wp:posOffset>
                            </wp:positionH>
                            <wp:positionV relativeFrom="paragraph">
                              <wp:posOffset>2983230</wp:posOffset>
                            </wp:positionV>
                            <wp:extent cx="190500" cy="76200"/>
                            <wp:effectExtent l="12700" t="12700" r="25400" b="25400"/>
                            <wp:wrapNone/>
                            <wp:docPr id="12" name="矩形 12"/>
                            <wp:cNvGraphicFramePr/>
                            <a:graphic xmlns:a="http://schemas.openxmlformats.org/drawingml/2006/main">
                              <a:graphicData uri="http://schemas.microsoft.com/office/word/2010/wordprocessingShape">
                                <wps:wsp>
                                  <wps:cNvSpPr/>
                                  <wps:spPr>
                                    <a:xfrm flipV="1">
                                      <a:off x="0" y="0"/>
                                      <a:ext cx="190500" cy="76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286.65pt;margin-top:234.9pt;height:6pt;width:15pt;z-index:251669504;v-text-anchor:middle;mso-width-relative:page;mso-height-relative:page;" filled="f" stroked="t" coordsize="21600,21600" o:gfxdata="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FzBTTZAAAACwEAAA8AAAAAAAAAAQAgAAAAIgAAAGRycy9kb3ducmV2LnhtbFBLAQIUABQA&#10;AAAIAIdO4kCnDtAiYQIAAL4EAAAOAAAAAAAAAAEAIAAAACgBAABkcnMvZTJvRG9jLnhtbFBLBQYA&#10;AAAABgAGAFkBAAD7BQAAAAA=&#10;">
                            <v:fill on="f" focussize="0,0"/>
                            <v:stroke weight="2pt" color="#FF0000 [3204]" joinstyle="round"/>
                            <v:imagedata o:title=""/>
                            <o:lock v:ext="edit" aspectratio="f"/>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3545840</wp:posOffset>
                            </wp:positionH>
                            <wp:positionV relativeFrom="paragraph">
                              <wp:posOffset>2927985</wp:posOffset>
                            </wp:positionV>
                            <wp:extent cx="1417955" cy="534035"/>
                            <wp:effectExtent l="4445" t="4445" r="6350" b="13970"/>
                            <wp:wrapNone/>
                            <wp:docPr id="11" name="文本框 11"/>
                            <wp:cNvGraphicFramePr/>
                            <a:graphic xmlns:a="http://schemas.openxmlformats.org/drawingml/2006/main">
                              <a:graphicData uri="http://schemas.microsoft.com/office/word/2010/wordprocessingShape">
                                <wps:wsp>
                                  <wps:cNvSpPr txBox="1"/>
                                  <wps:spPr>
                                    <a:xfrm>
                                      <a:off x="0" y="0"/>
                                      <a:ext cx="1417955" cy="534035"/>
                                    </a:xfrm>
                                    <a:prstGeom prst="rect">
                                      <a:avLst/>
                                    </a:prstGeom>
                                    <a:solidFill>
                                      <a:schemeClr val="bg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ind w:firstLine="360" w:firstLineChars="200"/>
                                          <w:rPr>
                                            <w:rFonts w:hint="eastAsia"/>
                                            <w:color w:val="auto"/>
                                            <w:sz w:val="18"/>
                                            <w:szCs w:val="18"/>
                                            <w:lang w:val="en-US" w:eastAsia="zh-CN"/>
                                          </w:rPr>
                                        </w:pPr>
                                        <w:r>
                                          <w:rPr>
                                            <w:rFonts w:hint="eastAsia"/>
                                            <w:color w:val="auto"/>
                                            <w:sz w:val="18"/>
                                            <w:szCs w:val="18"/>
                                            <w:lang w:val="en-US" w:eastAsia="zh-CN"/>
                                          </w:rPr>
                                          <w:t>企业边界</w:t>
                                        </w:r>
                                      </w:p>
                                      <w:p>
                                        <w:pPr>
                                          <w:rPr>
                                            <w:rFonts w:hint="default"/>
                                            <w:color w:val="auto"/>
                                            <w:sz w:val="18"/>
                                            <w:szCs w:val="18"/>
                                            <w:lang w:val="en-US" w:eastAsia="zh-CN"/>
                                          </w:rPr>
                                        </w:pPr>
                                        <w:r>
                                          <w:rPr>
                                            <w:rFonts w:hint="eastAsia"/>
                                            <w:color w:val="FF0000"/>
                                            <w:sz w:val="18"/>
                                            <w:szCs w:val="18"/>
                                          </w:rPr>
                                          <w:t>▲</w:t>
                                        </w:r>
                                        <w:r>
                                          <w:rPr>
                                            <w:rFonts w:hint="eastAsia" w:cs="Times New Roman"/>
                                            <w:color w:val="FF0000"/>
                                            <w:kern w:val="2"/>
                                            <w:sz w:val="18"/>
                                            <w:szCs w:val="18"/>
                                            <w:lang w:val="en-US" w:eastAsia="zh-CN" w:bidi="ar-SA"/>
                                          </w:rPr>
                                          <w:t>N1-N2</w:t>
                                        </w:r>
                                        <w:r>
                                          <w:rPr>
                                            <w:rFonts w:hint="eastAsia" w:ascii="Times New Roman" w:hAnsi="Times New Roman" w:eastAsia="宋体" w:cs="Times New Roman"/>
                                            <w:color w:val="auto"/>
                                            <w:kern w:val="2"/>
                                            <w:sz w:val="18"/>
                                            <w:szCs w:val="18"/>
                                            <w:lang w:val="en-US" w:eastAsia="zh-CN" w:bidi="ar-SA"/>
                                          </w:rPr>
                                          <w:t xml:space="preserve"> </w:t>
                                        </w:r>
                                        <w:r>
                                          <w:rPr>
                                            <w:rFonts w:hint="eastAsia" w:cs="Times New Roman"/>
                                            <w:color w:val="auto"/>
                                            <w:kern w:val="2"/>
                                            <w:sz w:val="18"/>
                                            <w:szCs w:val="18"/>
                                            <w:lang w:val="en-US" w:eastAsia="zh-CN" w:bidi="ar-SA"/>
                                          </w:rPr>
                                          <w:t>噪声</w:t>
                                        </w:r>
                                        <w:r>
                                          <w:rPr>
                                            <w:rFonts w:hint="default" w:ascii="Times New Roman" w:hAnsi="Times New Roman" w:eastAsia="宋体" w:cs="Times New Roman"/>
                                            <w:color w:val="auto"/>
                                            <w:kern w:val="2"/>
                                            <w:sz w:val="18"/>
                                            <w:szCs w:val="18"/>
                                            <w:lang w:val="en-US" w:eastAsia="zh-CN" w:bidi="ar-SA"/>
                                          </w:rPr>
                                          <w:t>测点位置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2pt;margin-top:230.55pt;height:42.05pt;width:111.65pt;z-index:251668480;mso-width-relative:page;mso-height-relative:page;" fillcolor="#FFFFFF [3212]" filled="t" stroked="t" coordsize="21600,21600" o:gfxdata="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H4zpjXAAAA&#10;CwEAAA8AAAAAAAAAAQAgAAAAIgAAAGRycy9kb3ducmV2LnhtbFBLAQIUABQAAAAIAIdO4kAAfGQP&#10;VwIAALoEAAAOAAAAAAAAAAEAIAAAACYBAABkcnMvZTJvRG9jLnhtbFBLBQYAAAAABgAGAFkBAADv&#10;BQAAAAA=&#10;">
                            <v:fill on="t" focussize="0,0"/>
                            <v:stroke weight="0.5pt" color="#000000 [3213]" joinstyle="round"/>
                            <v:imagedata o:title=""/>
                            <o:lock v:ext="edit" aspectratio="f"/>
                            <v:textbox>
                              <w:txbxContent>
                                <w:p>
                                  <w:pPr>
                                    <w:ind w:firstLine="360" w:firstLineChars="200"/>
                                    <w:rPr>
                                      <w:rFonts w:hint="eastAsia"/>
                                      <w:color w:val="auto"/>
                                      <w:sz w:val="18"/>
                                      <w:szCs w:val="18"/>
                                      <w:lang w:val="en-US" w:eastAsia="zh-CN"/>
                                    </w:rPr>
                                  </w:pPr>
                                  <w:r>
                                    <w:rPr>
                                      <w:rFonts w:hint="eastAsia"/>
                                      <w:color w:val="auto"/>
                                      <w:sz w:val="18"/>
                                      <w:szCs w:val="18"/>
                                      <w:lang w:val="en-US" w:eastAsia="zh-CN"/>
                                    </w:rPr>
                                    <w:t>企业边界</w:t>
                                  </w:r>
                                </w:p>
                                <w:p>
                                  <w:pPr>
                                    <w:rPr>
                                      <w:rFonts w:hint="default"/>
                                      <w:color w:val="auto"/>
                                      <w:sz w:val="18"/>
                                      <w:szCs w:val="18"/>
                                      <w:lang w:val="en-US" w:eastAsia="zh-CN"/>
                                    </w:rPr>
                                  </w:pPr>
                                  <w:r>
                                    <w:rPr>
                                      <w:rFonts w:hint="eastAsia"/>
                                      <w:color w:val="FF0000"/>
                                      <w:sz w:val="18"/>
                                      <w:szCs w:val="18"/>
                                    </w:rPr>
                                    <w:t>▲</w:t>
                                  </w:r>
                                  <w:r>
                                    <w:rPr>
                                      <w:rFonts w:hint="eastAsia" w:cs="Times New Roman"/>
                                      <w:color w:val="FF0000"/>
                                      <w:kern w:val="2"/>
                                      <w:sz w:val="18"/>
                                      <w:szCs w:val="18"/>
                                      <w:lang w:val="en-US" w:eastAsia="zh-CN" w:bidi="ar-SA"/>
                                    </w:rPr>
                                    <w:t>N1-N2</w:t>
                                  </w:r>
                                  <w:r>
                                    <w:rPr>
                                      <w:rFonts w:hint="eastAsia" w:ascii="Times New Roman" w:hAnsi="Times New Roman" w:eastAsia="宋体" w:cs="Times New Roman"/>
                                      <w:color w:val="auto"/>
                                      <w:kern w:val="2"/>
                                      <w:sz w:val="18"/>
                                      <w:szCs w:val="18"/>
                                      <w:lang w:val="en-US" w:eastAsia="zh-CN" w:bidi="ar-SA"/>
                                    </w:rPr>
                                    <w:t xml:space="preserve"> </w:t>
                                  </w:r>
                                  <w:r>
                                    <w:rPr>
                                      <w:rFonts w:hint="eastAsia" w:cs="Times New Roman"/>
                                      <w:color w:val="auto"/>
                                      <w:kern w:val="2"/>
                                      <w:sz w:val="18"/>
                                      <w:szCs w:val="18"/>
                                      <w:lang w:val="en-US" w:eastAsia="zh-CN" w:bidi="ar-SA"/>
                                    </w:rPr>
                                    <w:t>噪声</w:t>
                                  </w:r>
                                  <w:r>
                                    <w:rPr>
                                      <w:rFonts w:hint="default" w:ascii="Times New Roman" w:hAnsi="Times New Roman" w:eastAsia="宋体" w:cs="Times New Roman"/>
                                      <w:color w:val="auto"/>
                                      <w:kern w:val="2"/>
                                      <w:sz w:val="18"/>
                                      <w:szCs w:val="18"/>
                                      <w:lang w:val="en-US" w:eastAsia="zh-CN" w:bidi="ar-SA"/>
                                    </w:rPr>
                                    <w:t>测点位置</w:t>
                                  </w:r>
                                </w:p>
                              </w:txbxContent>
                            </v:textbox>
                          </v:shape>
                        </w:pict>
                      </mc:Fallback>
                    </mc:AlternateContent>
                  </w:r>
                  <w:r>
                    <w:rPr>
                      <w:rFonts w:hint="default"/>
                    </w:rPr>
                    <mc:AlternateContent>
                      <mc:Choice Requires="wps">
                        <w:drawing>
                          <wp:anchor distT="0" distB="0" distL="114300" distR="114300" simplePos="0" relativeHeight="251659264" behindDoc="0" locked="0" layoutInCell="1" allowOverlap="1">
                            <wp:simplePos x="0" y="0"/>
                            <wp:positionH relativeFrom="column">
                              <wp:posOffset>3214370</wp:posOffset>
                            </wp:positionH>
                            <wp:positionV relativeFrom="paragraph">
                              <wp:posOffset>1823720</wp:posOffset>
                            </wp:positionV>
                            <wp:extent cx="597535" cy="33845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97535" cy="33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1pt;margin-top:143.6pt;height:26.65pt;width:47.05pt;z-index:251659264;mso-width-relative:page;mso-height-relative:page;" filled="f" stroked="f" coordsize="21600,21600" o:gfxdata="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hZ2RNwAAAALAQAADwAAAAAAAAABACAAAAAiAAAA&#10;ZHJzL2Rvd25yZXYueG1sUEsBAhQAFAAAAAgAh07iQPuMqKk8AgAAZwQAAA4AAAAAAAAAAQAgAAAA&#10;KwEAAGRycy9lMm9Eb2MueG1sUEsFBgAAAAAGAAYAWQEAANkFAAAAAA==&#10;">
                            <v:fill on="f" focussize="0,0"/>
                            <v:stroke on="f" weight="0.5pt"/>
                            <v:imagedata o:title=""/>
                            <o:lock v:ext="edit" aspectratio="f"/>
                            <v:textbox>
                              <w:txbxContent>
                                <w:p>
                                  <w:pPr>
                                    <w:rPr>
                                      <w:rFonts w:hint="default" w:eastAsia="宋体"/>
                                      <w:color w:val="FF0000"/>
                                      <w:lang w:val="en-US" w:eastAsia="zh-CN"/>
                                    </w:rPr>
                                  </w:pPr>
                                  <w:r>
                                    <w:rPr>
                                      <w:rFonts w:hint="eastAsia"/>
                                      <w:color w:val="FF0000"/>
                                    </w:rPr>
                                    <w:t>▲</w:t>
                                  </w:r>
                                </w:p>
                              </w:txbxContent>
                            </v:textbox>
                          </v:shape>
                        </w:pict>
                      </mc:Fallback>
                    </mc:AlternateContent>
                  </w:r>
                  <w:r>
                    <w:rPr>
                      <w:rFonts w:hint="default"/>
                    </w:rPr>
                    <mc:AlternateContent>
                      <mc:Choice Requires="wps">
                        <w:drawing>
                          <wp:anchor distT="0" distB="0" distL="114300" distR="114300" simplePos="0" relativeHeight="251662336" behindDoc="0" locked="0" layoutInCell="1" allowOverlap="1">
                            <wp:simplePos x="0" y="0"/>
                            <wp:positionH relativeFrom="column">
                              <wp:posOffset>1461770</wp:posOffset>
                            </wp:positionH>
                            <wp:positionV relativeFrom="paragraph">
                              <wp:posOffset>1918970</wp:posOffset>
                            </wp:positionV>
                            <wp:extent cx="597535" cy="3384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597535" cy="33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1pt;margin-top:151.1pt;height:26.65pt;width:47.05pt;z-index:251662336;mso-width-relative:page;mso-height-relative:page;" filled="f" stroked="f" coordsize="21600,21600" o:gfxdata="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qaJetoAAAALAQAADwAAAAAAAAABACAAAAAiAAAAZHJz&#10;L2Rvd25yZXYueG1sUEsBAhQAFAAAAAgAh07iQFaap+07AgAAZQQAAA4AAAAAAAAAAQAgAAAAKQEA&#10;AGRycy9lMm9Eb2MueG1sUEsFBgAAAAAGAAYAWQEAANYFAAAAAA==&#10;">
                            <v:fill on="f" focussize="0,0"/>
                            <v:stroke on="f" weight="0.5pt"/>
                            <v:imagedata o:title=""/>
                            <o:lock v:ext="edit" aspectratio="f"/>
                            <v:textbox>
                              <w:txbxContent>
                                <w:p>
                                  <w:pPr>
                                    <w:rPr>
                                      <w:rFonts w:hint="default" w:eastAsia="宋体"/>
                                      <w:color w:val="FF0000"/>
                                      <w:lang w:val="en-US" w:eastAsia="zh-CN"/>
                                    </w:rPr>
                                  </w:pPr>
                                  <w:r>
                                    <w:rPr>
                                      <w:rFonts w:hint="eastAsia"/>
                                      <w:color w:val="FF0000"/>
                                    </w:rPr>
                                    <w:t>▲</w:t>
                                  </w:r>
                                </w:p>
                              </w:txbxContent>
                            </v:textbox>
                          </v:shape>
                        </w:pict>
                      </mc:Fallback>
                    </mc:AlternateContent>
                  </w:r>
                  <w:r>
                    <w:rPr>
                      <w:rFonts w:hint="default"/>
                    </w:rPr>
                    <mc:AlternateContent>
                      <mc:Choice Requires="wps">
                        <w:drawing>
                          <wp:anchor distT="0" distB="0" distL="114300" distR="114300" simplePos="0" relativeHeight="251661312" behindDoc="0" locked="0" layoutInCell="1" allowOverlap="1">
                            <wp:simplePos x="0" y="0"/>
                            <wp:positionH relativeFrom="column">
                              <wp:posOffset>4608195</wp:posOffset>
                            </wp:positionH>
                            <wp:positionV relativeFrom="paragraph">
                              <wp:posOffset>129540</wp:posOffset>
                            </wp:positionV>
                            <wp:extent cx="0" cy="459105"/>
                            <wp:effectExtent l="48895" t="0" r="65405" b="17145"/>
                            <wp:wrapNone/>
                            <wp:docPr id="24" name="直接箭头连接符 24"/>
                            <wp:cNvGraphicFramePr/>
                            <a:graphic xmlns:a="http://schemas.openxmlformats.org/drawingml/2006/main">
                              <a:graphicData uri="http://schemas.microsoft.com/office/word/2010/wordprocessingShape">
                                <wps:wsp>
                                  <wps:cNvCnPr/>
                                  <wps:spPr>
                                    <a:xfrm flipV="1">
                                      <a:off x="5447030" y="4851400"/>
                                      <a:ext cx="0" cy="459105"/>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2.85pt;margin-top:10.2pt;height:36.15pt;width:0pt;z-index:251661312;mso-width-relative:page;mso-height-relative:page;" filled="f" stroked="t" coordsize="21600,21600" o:gfxdata="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5jwg1gAAAAkBAAAPAAAAAAAAAAEAIAAA&#10;ACIAAABkcnMvZG93bnJldi54bWxQSwECFAAUAAAACACHTuJApCe1Xw4CAADeAwAADgAAAAAAAAAB&#10;ACAAAAAlAQAAZHJzL2Uyb0RvYy54bWxQSwUGAAAAAAYABgBZAQAApQUAAAAA&#10;">
                            <v:fill on="f" focussize="0,0"/>
                            <v:stroke color="#FFFF00 [3204]" joinstyle="round" endarrow="open"/>
                            <v:imagedata o:title=""/>
                            <o:lock v:ext="edit" aspectratio="f"/>
                          </v:shape>
                        </w:pict>
                      </mc:Fallback>
                    </mc:AlternateContent>
                  </w:r>
                  <w:r>
                    <w:rPr>
                      <w:rFonts w:hint="default"/>
                    </w:rPr>
                    <mc:AlternateContent>
                      <mc:Choice Requires="wps">
                        <w:drawing>
                          <wp:anchor distT="0" distB="0" distL="114300" distR="114300" simplePos="0" relativeHeight="251660288" behindDoc="0" locked="0" layoutInCell="1" allowOverlap="1">
                            <wp:simplePos x="0" y="0"/>
                            <wp:positionH relativeFrom="column">
                              <wp:posOffset>4696460</wp:posOffset>
                            </wp:positionH>
                            <wp:positionV relativeFrom="paragraph">
                              <wp:posOffset>196215</wp:posOffset>
                            </wp:positionV>
                            <wp:extent cx="381635" cy="32131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381635"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FF00"/>
                                            <w:lang w:val="en-US" w:eastAsia="zh-CN"/>
                                          </w:rPr>
                                        </w:pPr>
                                        <w:r>
                                          <w:rPr>
                                            <w:rFonts w:hint="eastAsia"/>
                                            <w:color w:val="FFFF00"/>
                                            <w:lang w:val="en-US"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8pt;margin-top:15.45pt;height:25.3pt;width:30.05pt;z-index:251660288;mso-width-relative:page;mso-height-relative:page;" filled="f" stroked="f" coordsize="21600,21600" o:gfxdata="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ZDLuO2wAAAAkBAAAPAAAAAAAAAAEAIAAAACIAAABk&#10;cnMvZG93bnJldi54bWxQSwECFAAUAAAACACHTuJAJ4MQEzwCAABnBAAADgAAAAAAAAABACAAAAAq&#10;AQAAZHJzL2Uyb0RvYy54bWxQSwUGAAAAAAYABgBZAQAA2AUAAAAA&#10;">
                            <v:fill on="f" focussize="0,0"/>
                            <v:stroke on="f" weight="0.5pt"/>
                            <v:imagedata o:title=""/>
                            <o:lock v:ext="edit" aspectratio="f"/>
                            <v:textbox>
                              <w:txbxContent>
                                <w:p>
                                  <w:pPr>
                                    <w:rPr>
                                      <w:rFonts w:hint="default"/>
                                      <w:color w:val="FFFF00"/>
                                      <w:lang w:val="en-US" w:eastAsia="zh-CN"/>
                                    </w:rPr>
                                  </w:pPr>
                                  <w:r>
                                    <w:rPr>
                                      <w:rFonts w:hint="eastAsia"/>
                                      <w:color w:val="FFFF00"/>
                                      <w:lang w:val="en-US" w:eastAsia="zh-CN"/>
                                    </w:rPr>
                                    <w:t>北</w:t>
                                  </w:r>
                                </w:p>
                              </w:txbxContent>
                            </v:textbox>
                          </v:shape>
                        </w:pict>
                      </mc:Fallback>
                    </mc:AlternateContent>
                  </w:r>
                  <w:r>
                    <w:rPr>
                      <w:rFonts w:hint="default"/>
                    </w:rPr>
                    <w:drawing>
                      <wp:inline distT="0" distB="0" distL="114300" distR="114300">
                        <wp:extent cx="4808220" cy="3369945"/>
                        <wp:effectExtent l="0" t="0" r="11430" b="190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2"/>
                                <a:stretch>
                                  <a:fillRect/>
                                </a:stretch>
                              </pic:blipFill>
                              <pic:spPr>
                                <a:xfrm>
                                  <a:off x="0" y="0"/>
                                  <a:ext cx="4808220" cy="3369945"/>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 xml:space="preserve">图8-1  </w:t>
                  </w:r>
                  <w:r>
                    <w:rPr>
                      <w:rFonts w:hint="eastAsia" w:ascii="Times New Roman" w:hAnsi="Times New Roman" w:eastAsia="宋体" w:cs="Times New Roman"/>
                      <w:b/>
                      <w:bCs/>
                      <w:color w:val="auto"/>
                      <w:kern w:val="2"/>
                      <w:sz w:val="24"/>
                      <w:szCs w:val="24"/>
                      <w:lang w:val="en-US" w:eastAsia="zh-CN" w:bidi="ar-SA"/>
                    </w:rPr>
                    <w:t xml:space="preserve">2022.5.26 </w:t>
                  </w:r>
                  <w:r>
                    <w:rPr>
                      <w:rFonts w:hint="default" w:ascii="Times New Roman" w:hAnsi="Times New Roman" w:eastAsia="宋体" w:cs="Times New Roman"/>
                      <w:b/>
                      <w:bCs/>
                      <w:color w:val="auto"/>
                      <w:kern w:val="2"/>
                      <w:sz w:val="24"/>
                      <w:szCs w:val="24"/>
                      <w:lang w:val="en-US" w:eastAsia="zh-CN" w:bidi="ar-SA"/>
                    </w:rPr>
                    <w:t>噪声监测点位图</w:t>
                  </w:r>
                </w:p>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pPr>
                  <w:r>
                    <w:drawing>
                      <wp:inline distT="0" distB="0" distL="114300" distR="114300">
                        <wp:extent cx="4512310" cy="2967355"/>
                        <wp:effectExtent l="0" t="0" r="2540" b="444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a:stretch>
                                  <a:fillRect/>
                                </a:stretch>
                              </pic:blipFill>
                              <pic:spPr>
                                <a:xfrm>
                                  <a:off x="0" y="0"/>
                                  <a:ext cx="4512310" cy="296735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lang w:val="en-US" w:eastAsia="zh-CN"/>
                    </w:rPr>
                  </w:pPr>
                  <w:r>
                    <w:rPr>
                      <w:rFonts w:hint="default" w:ascii="Times New Roman" w:hAnsi="Times New Roman" w:eastAsia="宋体" w:cs="Times New Roman"/>
                      <w:b/>
                      <w:bCs/>
                      <w:color w:val="auto"/>
                      <w:kern w:val="2"/>
                      <w:sz w:val="24"/>
                      <w:szCs w:val="24"/>
                      <w:lang w:val="en-US" w:eastAsia="zh-CN" w:bidi="ar-SA"/>
                    </w:rPr>
                    <w:t>图8-</w:t>
                  </w:r>
                  <w:r>
                    <w:rPr>
                      <w:rFonts w:hint="eastAsia"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kern w:val="2"/>
                      <w:sz w:val="24"/>
                      <w:szCs w:val="24"/>
                      <w:lang w:val="en-US" w:eastAsia="zh-CN" w:bidi="ar-SA"/>
                    </w:rPr>
                    <w:t xml:space="preserve">2022.5.27 </w:t>
                  </w:r>
                  <w:r>
                    <w:rPr>
                      <w:rFonts w:hint="default" w:ascii="Times New Roman" w:hAnsi="Times New Roman" w:eastAsia="宋体" w:cs="Times New Roman"/>
                      <w:b/>
                      <w:bCs/>
                      <w:color w:val="auto"/>
                      <w:kern w:val="2"/>
                      <w:sz w:val="24"/>
                      <w:szCs w:val="24"/>
                      <w:lang w:val="en-US" w:eastAsia="zh-CN" w:bidi="ar-SA"/>
                    </w:rPr>
                    <w:t>噪声监测点位图</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2、验收监测依据及标准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sz w:val="24"/>
                <w:szCs w:val="24"/>
              </w:rPr>
            </w:pPr>
            <w:r>
              <w:rPr>
                <w:rFonts w:hint="default"/>
                <w:sz w:val="24"/>
                <w:szCs w:val="24"/>
              </w:rPr>
              <w:t>运营期本项目噪声排放执行《工业企业厂界环境噪声排放标准》（GB12348-2008）表1中</w:t>
            </w:r>
            <w:r>
              <w:rPr>
                <w:rFonts w:hint="default"/>
                <w:sz w:val="24"/>
                <w:szCs w:val="24"/>
                <w:lang w:val="en-US" w:eastAsia="zh-CN"/>
              </w:rPr>
              <w:t>3</w:t>
            </w:r>
            <w:r>
              <w:rPr>
                <w:rFonts w:hint="default"/>
                <w:sz w:val="24"/>
                <w:szCs w:val="24"/>
              </w:rPr>
              <w:t>类标准</w:t>
            </w:r>
            <w:r>
              <w:rPr>
                <w:rFonts w:hint="default"/>
                <w:sz w:val="24"/>
                <w:szCs w:val="24"/>
                <w:lang w:eastAsia="zh-CN"/>
              </w:rPr>
              <w:t>。</w:t>
            </w:r>
            <w:r>
              <w:rPr>
                <w:rFonts w:hint="default"/>
                <w:sz w:val="24"/>
                <w:szCs w:val="24"/>
              </w:rPr>
              <w:t>具体排放限值见表</w:t>
            </w:r>
            <w:r>
              <w:rPr>
                <w:rFonts w:hint="default"/>
                <w:sz w:val="24"/>
                <w:szCs w:val="24"/>
                <w:lang w:val="en-US" w:eastAsia="zh-CN"/>
              </w:rPr>
              <w:t>8-2</w:t>
            </w:r>
            <w:r>
              <w:rPr>
                <w:rFonts w:hint="default"/>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default" w:ascii="Times New Roman" w:hAnsi="Times New Roman" w:eastAsia="宋体" w:cs="Times New Roman"/>
                <w:b/>
                <w:bCs/>
                <w:sz w:val="24"/>
                <w:szCs w:val="24"/>
                <w:lang w:val="en-US" w:eastAsia="zh-CN"/>
              </w:rPr>
              <w:t xml:space="preserve">8-2 </w:t>
            </w:r>
            <w:r>
              <w:rPr>
                <w:rFonts w:hint="default" w:ascii="Times New Roman" w:hAnsi="Times New Roman" w:eastAsia="宋体" w:cs="Times New Roman"/>
                <w:b/>
                <w:bCs/>
                <w:sz w:val="24"/>
                <w:szCs w:val="24"/>
                <w:lang w:eastAsia="zh-CN"/>
              </w:rPr>
              <w:t xml:space="preserve"> 工业企业厂界环境噪声排放限值</w:t>
            </w:r>
          </w:p>
          <w:tbl>
            <w:tblPr>
              <w:tblStyle w:val="18"/>
              <w:tblpPr w:leftFromText="180" w:rightFromText="180" w:vertAnchor="text" w:horzAnchor="page" w:tblpX="105" w:tblpY="5"/>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3028"/>
              <w:gridCol w:w="1571"/>
              <w:gridCol w:w="1143"/>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30" w:type="pct"/>
                  <w:vMerge w:val="restart"/>
                  <w:noWrap w:val="0"/>
                  <w:vAlign w:val="center"/>
                </w:tcPr>
                <w:p>
                  <w:pPr>
                    <w:jc w:val="center"/>
                    <w:rPr>
                      <w:rFonts w:hint="default"/>
                    </w:rPr>
                  </w:pPr>
                  <w:r>
                    <w:rPr>
                      <w:rFonts w:hint="default"/>
                    </w:rPr>
                    <w:t>厂界名</w:t>
                  </w:r>
                </w:p>
              </w:tc>
              <w:tc>
                <w:tcPr>
                  <w:tcW w:w="1821" w:type="pct"/>
                  <w:vMerge w:val="restart"/>
                  <w:noWrap w:val="0"/>
                  <w:vAlign w:val="center"/>
                </w:tcPr>
                <w:p>
                  <w:pPr>
                    <w:jc w:val="center"/>
                    <w:rPr>
                      <w:rFonts w:hint="default"/>
                    </w:rPr>
                  </w:pPr>
                  <w:r>
                    <w:rPr>
                      <w:rFonts w:hint="default"/>
                    </w:rPr>
                    <w:t>执行标准</w:t>
                  </w:r>
                </w:p>
              </w:tc>
              <w:tc>
                <w:tcPr>
                  <w:tcW w:w="945" w:type="pct"/>
                  <w:vMerge w:val="restart"/>
                  <w:noWrap w:val="0"/>
                  <w:vAlign w:val="center"/>
                </w:tcPr>
                <w:p>
                  <w:pPr>
                    <w:jc w:val="center"/>
                    <w:rPr>
                      <w:rFonts w:hint="default"/>
                    </w:rPr>
                  </w:pPr>
                  <w:r>
                    <w:rPr>
                      <w:rFonts w:hint="default"/>
                    </w:rPr>
                    <w:t>级别</w:t>
                  </w:r>
                </w:p>
              </w:tc>
              <w:tc>
                <w:tcPr>
                  <w:tcW w:w="687" w:type="pct"/>
                  <w:vMerge w:val="restart"/>
                  <w:noWrap w:val="0"/>
                  <w:vAlign w:val="center"/>
                </w:tcPr>
                <w:p>
                  <w:pPr>
                    <w:jc w:val="center"/>
                    <w:rPr>
                      <w:rFonts w:hint="default"/>
                    </w:rPr>
                  </w:pPr>
                  <w:r>
                    <w:rPr>
                      <w:rFonts w:hint="default"/>
                    </w:rPr>
                    <w:t>单位</w:t>
                  </w:r>
                </w:p>
              </w:tc>
              <w:tc>
                <w:tcPr>
                  <w:tcW w:w="815" w:type="pct"/>
                  <w:noWrap w:val="0"/>
                  <w:vAlign w:val="center"/>
                </w:tcPr>
                <w:p>
                  <w:pPr>
                    <w:jc w:val="center"/>
                    <w:rPr>
                      <w:rFonts w:hint="default"/>
                    </w:rPr>
                  </w:pPr>
                  <w:r>
                    <w:rPr>
                      <w:rFonts w:hint="default"/>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30" w:type="pct"/>
                  <w:vMerge w:val="continue"/>
                  <w:noWrap w:val="0"/>
                  <w:vAlign w:val="center"/>
                </w:tcPr>
                <w:p>
                  <w:pPr>
                    <w:spacing w:line="276" w:lineRule="auto"/>
                    <w:jc w:val="center"/>
                    <w:rPr>
                      <w:rFonts w:hint="default"/>
                    </w:rPr>
                  </w:pPr>
                </w:p>
              </w:tc>
              <w:tc>
                <w:tcPr>
                  <w:tcW w:w="1821" w:type="pct"/>
                  <w:vMerge w:val="continue"/>
                  <w:noWrap w:val="0"/>
                  <w:vAlign w:val="center"/>
                </w:tcPr>
                <w:p>
                  <w:pPr>
                    <w:spacing w:line="276" w:lineRule="auto"/>
                    <w:jc w:val="center"/>
                    <w:rPr>
                      <w:rFonts w:hint="default"/>
                    </w:rPr>
                  </w:pPr>
                </w:p>
              </w:tc>
              <w:tc>
                <w:tcPr>
                  <w:tcW w:w="945" w:type="pct"/>
                  <w:vMerge w:val="continue"/>
                  <w:noWrap w:val="0"/>
                  <w:vAlign w:val="center"/>
                </w:tcPr>
                <w:p>
                  <w:pPr>
                    <w:spacing w:line="276" w:lineRule="auto"/>
                    <w:jc w:val="center"/>
                    <w:rPr>
                      <w:rFonts w:hint="default"/>
                    </w:rPr>
                  </w:pPr>
                </w:p>
              </w:tc>
              <w:tc>
                <w:tcPr>
                  <w:tcW w:w="687" w:type="pct"/>
                  <w:vMerge w:val="continue"/>
                  <w:noWrap w:val="0"/>
                  <w:vAlign w:val="center"/>
                </w:tcPr>
                <w:p>
                  <w:pPr>
                    <w:spacing w:line="276" w:lineRule="auto"/>
                    <w:jc w:val="center"/>
                    <w:rPr>
                      <w:rFonts w:hint="default"/>
                    </w:rPr>
                  </w:pPr>
                </w:p>
              </w:tc>
              <w:tc>
                <w:tcPr>
                  <w:tcW w:w="815" w:type="pct"/>
                  <w:noWrap w:val="0"/>
                  <w:vAlign w:val="center"/>
                </w:tcPr>
                <w:p>
                  <w:pPr>
                    <w:jc w:val="center"/>
                    <w:rPr>
                      <w:rFonts w:hint="default"/>
                    </w:rPr>
                  </w:pPr>
                  <w:r>
                    <w:rPr>
                      <w:rFonts w:hint="default"/>
                    </w:rPr>
                    <w:t>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730" w:type="pct"/>
                  <w:noWrap w:val="0"/>
                  <w:vAlign w:val="center"/>
                </w:tcPr>
                <w:p>
                  <w:pPr>
                    <w:spacing w:line="276" w:lineRule="auto"/>
                    <w:jc w:val="center"/>
                    <w:rPr>
                      <w:rFonts w:hint="default"/>
                    </w:rPr>
                  </w:pPr>
                  <w:r>
                    <w:rPr>
                      <w:rFonts w:hint="default"/>
                    </w:rPr>
                    <w:t>厂界外1m</w:t>
                  </w:r>
                </w:p>
              </w:tc>
              <w:tc>
                <w:tcPr>
                  <w:tcW w:w="1821" w:type="pct"/>
                  <w:noWrap w:val="0"/>
                  <w:vAlign w:val="center"/>
                </w:tcPr>
                <w:p>
                  <w:pPr>
                    <w:spacing w:line="276" w:lineRule="auto"/>
                    <w:jc w:val="center"/>
                    <w:rPr>
                      <w:rFonts w:hint="default"/>
                    </w:rPr>
                  </w:pPr>
                  <w:r>
                    <w:rPr>
                      <w:rFonts w:hint="default"/>
                    </w:rPr>
                    <w:t>《工业企业厂界环境噪声排放标准》（GB12348-2008）</w:t>
                  </w:r>
                </w:p>
              </w:tc>
              <w:tc>
                <w:tcPr>
                  <w:tcW w:w="945" w:type="pct"/>
                  <w:noWrap w:val="0"/>
                  <w:vAlign w:val="center"/>
                </w:tcPr>
                <w:p>
                  <w:pPr>
                    <w:spacing w:line="276" w:lineRule="auto"/>
                    <w:jc w:val="center"/>
                    <w:rPr>
                      <w:rFonts w:hint="default"/>
                    </w:rPr>
                  </w:pPr>
                  <w:r>
                    <w:rPr>
                      <w:rFonts w:hint="default"/>
                    </w:rPr>
                    <w:t>表1</w:t>
                  </w:r>
                  <w:r>
                    <w:rPr>
                      <w:rFonts w:hint="default"/>
                      <w:lang w:val="en-US" w:eastAsia="zh-CN"/>
                    </w:rPr>
                    <w:t>中3</w:t>
                  </w:r>
                  <w:r>
                    <w:rPr>
                      <w:rFonts w:hint="default"/>
                    </w:rPr>
                    <w:t>类标准</w:t>
                  </w:r>
                </w:p>
              </w:tc>
              <w:tc>
                <w:tcPr>
                  <w:tcW w:w="687" w:type="pct"/>
                  <w:noWrap w:val="0"/>
                  <w:vAlign w:val="center"/>
                </w:tcPr>
                <w:p>
                  <w:pPr>
                    <w:spacing w:line="276" w:lineRule="auto"/>
                    <w:jc w:val="center"/>
                    <w:rPr>
                      <w:rFonts w:hint="default"/>
                    </w:rPr>
                  </w:pPr>
                  <w:r>
                    <w:rPr>
                      <w:rFonts w:hint="default"/>
                    </w:rPr>
                    <w:t>dB（A）</w:t>
                  </w:r>
                </w:p>
              </w:tc>
              <w:tc>
                <w:tcPr>
                  <w:tcW w:w="815" w:type="pct"/>
                  <w:noWrap w:val="0"/>
                  <w:vAlign w:val="center"/>
                </w:tcPr>
                <w:p>
                  <w:pPr>
                    <w:spacing w:line="276" w:lineRule="auto"/>
                    <w:jc w:val="center"/>
                    <w:rPr>
                      <w:rFonts w:hint="default"/>
                      <w:lang w:val="en-US" w:eastAsia="zh-CN"/>
                    </w:rPr>
                  </w:pPr>
                  <w:r>
                    <w:rPr>
                      <w:rFonts w:hint="default"/>
                      <w:lang w:val="en-US" w:eastAsia="zh-CN"/>
                    </w:rPr>
                    <w:t>65</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rPr>
            </w:pPr>
            <w:r>
              <w:rPr>
                <w:rFonts w:hint="default"/>
                <w:sz w:val="24"/>
                <w:szCs w:val="24"/>
              </w:rPr>
              <w:t>本次验收厂界环境噪声监测结果</w:t>
            </w:r>
            <w:r>
              <w:rPr>
                <w:rFonts w:hint="default"/>
                <w:sz w:val="24"/>
                <w:szCs w:val="24"/>
                <w:lang w:eastAsia="zh-CN"/>
              </w:rPr>
              <w:t>见表</w:t>
            </w:r>
            <w:r>
              <w:rPr>
                <w:rFonts w:hint="default"/>
                <w:sz w:val="24"/>
                <w:szCs w:val="24"/>
                <w:lang w:val="en-US" w:eastAsia="zh-CN"/>
              </w:rPr>
              <w:t>8-3</w:t>
            </w:r>
            <w:r>
              <w:rPr>
                <w:rFonts w:hint="default"/>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eastAsia="zh-CN"/>
              </w:rPr>
              <w:t>厂界噪声</w:t>
            </w:r>
            <w:r>
              <w:rPr>
                <w:rFonts w:hint="default"/>
                <w:sz w:val="24"/>
                <w:szCs w:val="24"/>
                <w:lang w:val="en-US" w:eastAsia="zh-CN"/>
              </w:rPr>
              <w:t>测点昼间等效声级均满足《</w:t>
            </w:r>
            <w:r>
              <w:rPr>
                <w:rFonts w:hint="default"/>
                <w:sz w:val="24"/>
                <w:szCs w:val="24"/>
              </w:rPr>
              <w:t>工业企业厂界环境噪声排放标准》（GB 12348-2008）</w:t>
            </w:r>
            <w:r>
              <w:rPr>
                <w:rFonts w:hint="default"/>
                <w:sz w:val="24"/>
                <w:szCs w:val="24"/>
                <w:lang w:val="en-US" w:eastAsia="zh-CN"/>
              </w:rPr>
              <w:t>3</w:t>
            </w:r>
            <w:r>
              <w:rPr>
                <w:rFonts w:hint="default"/>
                <w:sz w:val="24"/>
                <w:szCs w:val="24"/>
              </w:rPr>
              <w:t>类标准限值要求</w:t>
            </w:r>
            <w:r>
              <w:rPr>
                <w:rFonts w:hint="default"/>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表8-3  噪声监测结果及点位图</w:t>
            </w:r>
          </w:p>
          <w:tbl>
            <w:tblPr>
              <w:tblStyle w:val="18"/>
              <w:tblW w:w="4452"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0"/>
              <w:gridCol w:w="1777"/>
              <w:gridCol w:w="1290"/>
              <w:gridCol w:w="1260"/>
              <w:gridCol w:w="1156"/>
              <w:gridCol w:w="115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513" w:type="pct"/>
                  <w:vMerge w:val="restart"/>
                  <w:tcBorders>
                    <w:top w:val="single" w:color="auto" w:sz="4" w:space="0"/>
                    <w:left w:val="single" w:color="auto" w:sz="4" w:space="0"/>
                    <w:right w:val="single" w:color="auto" w:sz="4" w:space="0"/>
                  </w:tcBorders>
                  <w:noWrap w:val="0"/>
                  <w:vAlign w:val="center"/>
                </w:tcPr>
                <w:p>
                  <w:pPr>
                    <w:snapToGrid w:val="0"/>
                    <w:jc w:val="center"/>
                    <w:rPr>
                      <w:rFonts w:hint="default"/>
                    </w:rPr>
                  </w:pPr>
                  <w:r>
                    <w:rPr>
                      <w:rFonts w:hint="default"/>
                    </w:rPr>
                    <w:t>测点编号</w:t>
                  </w:r>
                </w:p>
              </w:tc>
              <w:tc>
                <w:tcPr>
                  <w:tcW w:w="1200" w:type="pct"/>
                  <w:vMerge w:val="restart"/>
                  <w:tcBorders>
                    <w:top w:val="single" w:color="auto" w:sz="4" w:space="0"/>
                    <w:left w:val="single" w:color="auto" w:sz="4" w:space="0"/>
                    <w:right w:val="single" w:color="auto" w:sz="4" w:space="0"/>
                  </w:tcBorders>
                  <w:noWrap w:val="0"/>
                  <w:vAlign w:val="center"/>
                </w:tcPr>
                <w:p>
                  <w:pPr>
                    <w:autoSpaceDE w:val="0"/>
                    <w:autoSpaceDN w:val="0"/>
                    <w:adjustRightInd w:val="0"/>
                    <w:jc w:val="center"/>
                    <w:rPr>
                      <w:rFonts w:hint="default"/>
                    </w:rPr>
                  </w:pPr>
                  <w:r>
                    <w:rPr>
                      <w:rFonts w:hint="default"/>
                    </w:rPr>
                    <w:t>测点位置</w:t>
                  </w:r>
                </w:p>
              </w:tc>
              <w:tc>
                <w:tcPr>
                  <w:tcW w:w="871" w:type="pct"/>
                  <w:vMerge w:val="restart"/>
                  <w:tcBorders>
                    <w:top w:val="single" w:color="auto" w:sz="4" w:space="0"/>
                    <w:left w:val="single" w:color="auto" w:sz="4" w:space="0"/>
                    <w:right w:val="single" w:color="auto" w:sz="4" w:space="0"/>
                  </w:tcBorders>
                  <w:noWrap w:val="0"/>
                  <w:vAlign w:val="center"/>
                </w:tcPr>
                <w:p>
                  <w:pPr>
                    <w:autoSpaceDE w:val="0"/>
                    <w:autoSpaceDN w:val="0"/>
                    <w:adjustRightInd w:val="0"/>
                    <w:jc w:val="center"/>
                    <w:rPr>
                      <w:rFonts w:hint="default"/>
                    </w:rPr>
                  </w:pPr>
                  <w:r>
                    <w:rPr>
                      <w:rFonts w:hint="default"/>
                    </w:rPr>
                    <w:t>测量</w:t>
                  </w:r>
                </w:p>
                <w:p>
                  <w:pPr>
                    <w:autoSpaceDE w:val="0"/>
                    <w:autoSpaceDN w:val="0"/>
                    <w:adjustRightInd w:val="0"/>
                    <w:jc w:val="center"/>
                    <w:rPr>
                      <w:rFonts w:hint="default"/>
                    </w:rPr>
                  </w:pPr>
                  <w:r>
                    <w:rPr>
                      <w:rFonts w:hint="default"/>
                    </w:rPr>
                    <w:t>时间</w:t>
                  </w:r>
                </w:p>
              </w:tc>
              <w:tc>
                <w:tcPr>
                  <w:tcW w:w="2414" w:type="pct"/>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default"/>
                      <w:lang w:eastAsia="zh-CN"/>
                    </w:rPr>
                  </w:pPr>
                  <w:r>
                    <w:rPr>
                      <w:rFonts w:hint="default"/>
                      <w:lang w:eastAsia="zh-CN"/>
                    </w:rPr>
                    <w:t>昼间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513" w:type="pct"/>
                  <w:vMerge w:val="continue"/>
                  <w:tcBorders>
                    <w:left w:val="single" w:color="auto" w:sz="4" w:space="0"/>
                    <w:right w:val="single" w:color="auto" w:sz="4" w:space="0"/>
                  </w:tcBorders>
                  <w:noWrap w:val="0"/>
                  <w:vAlign w:val="center"/>
                </w:tcPr>
                <w:p>
                  <w:pPr>
                    <w:snapToGrid w:val="0"/>
                    <w:jc w:val="center"/>
                    <w:rPr>
                      <w:rFonts w:hint="default"/>
                    </w:rPr>
                  </w:pPr>
                </w:p>
              </w:tc>
              <w:tc>
                <w:tcPr>
                  <w:tcW w:w="1200" w:type="pct"/>
                  <w:vMerge w:val="continue"/>
                  <w:tcBorders>
                    <w:left w:val="single" w:color="auto" w:sz="4" w:space="0"/>
                    <w:right w:val="single" w:color="auto" w:sz="4" w:space="0"/>
                  </w:tcBorders>
                  <w:noWrap w:val="0"/>
                  <w:vAlign w:val="center"/>
                </w:tcPr>
                <w:p>
                  <w:pPr>
                    <w:autoSpaceDE w:val="0"/>
                    <w:autoSpaceDN w:val="0"/>
                    <w:adjustRightInd w:val="0"/>
                    <w:jc w:val="center"/>
                    <w:rPr>
                      <w:rFonts w:hint="default"/>
                    </w:rPr>
                  </w:pPr>
                </w:p>
              </w:tc>
              <w:tc>
                <w:tcPr>
                  <w:tcW w:w="871" w:type="pct"/>
                  <w:vMerge w:val="continue"/>
                  <w:tcBorders>
                    <w:left w:val="single" w:color="auto" w:sz="4" w:space="0"/>
                    <w:right w:val="single" w:color="auto" w:sz="4" w:space="0"/>
                  </w:tcBorders>
                  <w:noWrap w:val="0"/>
                  <w:vAlign w:val="center"/>
                </w:tcPr>
                <w:p>
                  <w:pPr>
                    <w:autoSpaceDE w:val="0"/>
                    <w:autoSpaceDN w:val="0"/>
                    <w:adjustRightInd w:val="0"/>
                    <w:jc w:val="center"/>
                    <w:rPr>
                      <w:rFonts w:hint="default"/>
                    </w:rPr>
                  </w:pPr>
                </w:p>
              </w:tc>
              <w:tc>
                <w:tcPr>
                  <w:tcW w:w="851" w:type="pct"/>
                  <w:tcBorders>
                    <w:top w:val="single" w:color="auto" w:sz="4" w:space="0"/>
                    <w:left w:val="single" w:color="auto" w:sz="4" w:space="0"/>
                    <w:right w:val="single" w:color="auto" w:sz="4" w:space="0"/>
                  </w:tcBorders>
                  <w:noWrap w:val="0"/>
                  <w:vAlign w:val="center"/>
                </w:tcPr>
                <w:p>
                  <w:pPr>
                    <w:autoSpaceDE w:val="0"/>
                    <w:autoSpaceDN w:val="0"/>
                    <w:adjustRightInd w:val="0"/>
                    <w:jc w:val="center"/>
                    <w:rPr>
                      <w:rFonts w:hint="default"/>
                      <w:lang w:eastAsia="zh-CN"/>
                    </w:rPr>
                  </w:pPr>
                  <w:r>
                    <w:rPr>
                      <w:rFonts w:hint="default"/>
                      <w:lang w:eastAsia="zh-CN"/>
                    </w:rPr>
                    <w:t>等效声</w:t>
                  </w:r>
                  <w:r>
                    <w:rPr>
                      <w:rFonts w:hint="default"/>
                    </w:rPr>
                    <w:t>级dB（A）</w:t>
                  </w:r>
                </w:p>
              </w:tc>
              <w:tc>
                <w:tcPr>
                  <w:tcW w:w="780" w:type="pct"/>
                  <w:tcBorders>
                    <w:left w:val="single" w:color="auto" w:sz="4" w:space="0"/>
                    <w:right w:val="single" w:color="auto" w:sz="4" w:space="0"/>
                  </w:tcBorders>
                  <w:noWrap w:val="0"/>
                  <w:vAlign w:val="center"/>
                </w:tcPr>
                <w:p>
                  <w:pPr>
                    <w:autoSpaceDE w:val="0"/>
                    <w:autoSpaceDN w:val="0"/>
                    <w:adjustRightInd w:val="0"/>
                    <w:jc w:val="center"/>
                    <w:rPr>
                      <w:rFonts w:hint="default"/>
                      <w:lang w:eastAsia="zh-CN"/>
                    </w:rPr>
                  </w:pPr>
                  <w:r>
                    <w:rPr>
                      <w:rFonts w:hint="eastAsia"/>
                      <w:lang w:eastAsia="zh-CN"/>
                    </w:rPr>
                    <w:t>标准限值</w:t>
                  </w:r>
                  <w:r>
                    <w:rPr>
                      <w:rFonts w:hint="default"/>
                    </w:rPr>
                    <w:t>dB（A）</w:t>
                  </w:r>
                </w:p>
              </w:tc>
              <w:tc>
                <w:tcPr>
                  <w:tcW w:w="782" w:type="pct"/>
                  <w:tcBorders>
                    <w:left w:val="single" w:color="auto" w:sz="4" w:space="0"/>
                    <w:bottom w:val="single" w:color="auto" w:sz="4" w:space="0"/>
                    <w:right w:val="single" w:color="auto" w:sz="4" w:space="0"/>
                  </w:tcBorders>
                  <w:noWrap w:val="0"/>
                  <w:vAlign w:val="center"/>
                </w:tcPr>
                <w:p>
                  <w:pPr>
                    <w:autoSpaceDE w:val="0"/>
                    <w:autoSpaceDN w:val="0"/>
                    <w:adjustRightInd w:val="0"/>
                    <w:jc w:val="center"/>
                    <w:rPr>
                      <w:rFonts w:hint="default"/>
                      <w:lang w:val="en-US" w:eastAsia="zh-CN"/>
                    </w:rPr>
                  </w:pPr>
                  <w:r>
                    <w:rPr>
                      <w:rFonts w:hint="eastAsia"/>
                      <w:lang w:val="en-US" w:eastAsia="zh-CN"/>
                    </w:rPr>
                    <w:t>达标情况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51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default"/>
                    </w:rPr>
                    <w:t>N1</w:t>
                  </w:r>
                </w:p>
              </w:tc>
              <w:tc>
                <w:tcPr>
                  <w:tcW w:w="120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default"/>
                      <w:lang w:val="en-US" w:eastAsia="zh-CN"/>
                    </w:rPr>
                    <w:t>东厂界外1米</w:t>
                  </w:r>
                </w:p>
              </w:tc>
              <w:tc>
                <w:tcPr>
                  <w:tcW w:w="871" w:type="pct"/>
                  <w:vMerge w:val="restart"/>
                  <w:tcBorders>
                    <w:top w:val="single" w:color="auto" w:sz="4" w:space="0"/>
                    <w:left w:val="single" w:color="auto" w:sz="4" w:space="0"/>
                    <w:right w:val="single" w:color="auto" w:sz="4" w:space="0"/>
                  </w:tcBorders>
                  <w:noWrap w:val="0"/>
                  <w:vAlign w:val="center"/>
                </w:tcPr>
                <w:p>
                  <w:pPr>
                    <w:autoSpaceDE w:val="0"/>
                    <w:autoSpaceDN w:val="0"/>
                    <w:adjustRightInd w:val="0"/>
                    <w:spacing w:before="100" w:after="100" w:line="240" w:lineRule="atLeast"/>
                    <w:jc w:val="center"/>
                    <w:rPr>
                      <w:rFonts w:hint="default"/>
                      <w:lang w:val="en-US" w:eastAsia="zh-CN"/>
                    </w:rPr>
                  </w:pPr>
                  <w:r>
                    <w:rPr>
                      <w:rFonts w:hint="default"/>
                      <w:lang w:val="en-US" w:eastAsia="zh-CN"/>
                    </w:rPr>
                    <w:t>2022.5.26</w:t>
                  </w:r>
                </w:p>
              </w:tc>
              <w:tc>
                <w:tcPr>
                  <w:tcW w:w="851" w:type="pct"/>
                  <w:tcBorders>
                    <w:top w:val="single" w:color="auto" w:sz="4" w:space="0"/>
                    <w:left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default"/>
                      <w:lang w:val="en-US" w:eastAsia="zh-CN"/>
                    </w:rPr>
                    <w:t>56.4</w:t>
                  </w:r>
                </w:p>
              </w:tc>
              <w:tc>
                <w:tcPr>
                  <w:tcW w:w="780" w:type="pct"/>
                  <w:vMerge w:val="restart"/>
                  <w:tcBorders>
                    <w:top w:val="single" w:color="auto" w:sz="4" w:space="0"/>
                    <w:left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default"/>
                      <w:lang w:val="en-US" w:eastAsia="zh-CN"/>
                    </w:rPr>
                    <w:t>65</w:t>
                  </w:r>
                </w:p>
              </w:tc>
              <w:tc>
                <w:tcPr>
                  <w:tcW w:w="782"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513" w:type="pct"/>
                  <w:tcBorders>
                    <w:top w:val="single" w:color="auto" w:sz="4" w:space="0"/>
                    <w:left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default"/>
                    </w:rPr>
                    <w:t>N</w:t>
                  </w:r>
                  <w:r>
                    <w:rPr>
                      <w:rFonts w:hint="default"/>
                      <w:lang w:val="en-US" w:eastAsia="zh-CN"/>
                    </w:rPr>
                    <w:t>2</w:t>
                  </w:r>
                </w:p>
              </w:tc>
              <w:tc>
                <w:tcPr>
                  <w:tcW w:w="1200" w:type="pct"/>
                  <w:tcBorders>
                    <w:top w:val="single" w:color="auto" w:sz="4" w:space="0"/>
                    <w:left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default"/>
                      <w:lang w:val="en-US" w:eastAsia="zh-CN"/>
                    </w:rPr>
                    <w:t>西厂界外1米</w:t>
                  </w:r>
                </w:p>
              </w:tc>
              <w:tc>
                <w:tcPr>
                  <w:tcW w:w="871" w:type="pct"/>
                  <w:vMerge w:val="continue"/>
                  <w:tcBorders>
                    <w:left w:val="single" w:color="auto" w:sz="4" w:space="0"/>
                    <w:right w:val="single" w:color="auto" w:sz="4" w:space="0"/>
                  </w:tcBorders>
                  <w:noWrap w:val="0"/>
                  <w:vAlign w:val="center"/>
                </w:tcPr>
                <w:p>
                  <w:pPr>
                    <w:autoSpaceDE w:val="0"/>
                    <w:autoSpaceDN w:val="0"/>
                    <w:adjustRightInd w:val="0"/>
                    <w:spacing w:before="100" w:after="100" w:line="240" w:lineRule="atLeast"/>
                    <w:jc w:val="center"/>
                    <w:rPr>
                      <w:rFonts w:hint="default"/>
                    </w:rPr>
                  </w:pPr>
                </w:p>
              </w:tc>
              <w:tc>
                <w:tcPr>
                  <w:tcW w:w="851" w:type="pct"/>
                  <w:tcBorders>
                    <w:top w:val="single" w:color="auto" w:sz="4" w:space="0"/>
                    <w:left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default"/>
                      <w:lang w:val="en-US" w:eastAsia="zh-CN"/>
                    </w:rPr>
                    <w:t>57.7</w:t>
                  </w:r>
                </w:p>
              </w:tc>
              <w:tc>
                <w:tcPr>
                  <w:tcW w:w="780" w:type="pct"/>
                  <w:vMerge w:val="continue"/>
                  <w:tcBorders>
                    <w:left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p>
              </w:tc>
              <w:tc>
                <w:tcPr>
                  <w:tcW w:w="782"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51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default"/>
                    </w:rPr>
                    <w:t>N1</w:t>
                  </w:r>
                </w:p>
              </w:tc>
              <w:tc>
                <w:tcPr>
                  <w:tcW w:w="120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default"/>
                      <w:lang w:val="en-US" w:eastAsia="zh-CN"/>
                    </w:rPr>
                    <w:t>东厂界外1米</w:t>
                  </w:r>
                </w:p>
              </w:tc>
              <w:tc>
                <w:tcPr>
                  <w:tcW w:w="871" w:type="pct"/>
                  <w:vMerge w:val="restart"/>
                  <w:tcBorders>
                    <w:top w:val="single" w:color="auto" w:sz="4" w:space="0"/>
                    <w:left w:val="single" w:color="auto" w:sz="4" w:space="0"/>
                    <w:right w:val="single" w:color="auto" w:sz="4" w:space="0"/>
                  </w:tcBorders>
                  <w:noWrap w:val="0"/>
                  <w:vAlign w:val="center"/>
                </w:tcPr>
                <w:p>
                  <w:pPr>
                    <w:autoSpaceDE w:val="0"/>
                    <w:autoSpaceDN w:val="0"/>
                    <w:adjustRightInd w:val="0"/>
                    <w:spacing w:before="100" w:after="100" w:line="240" w:lineRule="atLeast"/>
                    <w:jc w:val="center"/>
                    <w:rPr>
                      <w:rFonts w:hint="default"/>
                      <w:lang w:val="en-US" w:eastAsia="zh-CN"/>
                    </w:rPr>
                  </w:pPr>
                  <w:r>
                    <w:rPr>
                      <w:rFonts w:hint="default"/>
                      <w:lang w:val="en-US" w:eastAsia="zh-CN"/>
                    </w:rPr>
                    <w:t>2022.5.27</w:t>
                  </w:r>
                </w:p>
              </w:tc>
              <w:tc>
                <w:tcPr>
                  <w:tcW w:w="851" w:type="pct"/>
                  <w:tcBorders>
                    <w:top w:val="single" w:color="auto" w:sz="4" w:space="0"/>
                    <w:left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default"/>
                      <w:lang w:val="en-US" w:eastAsia="zh-CN"/>
                    </w:rPr>
                    <w:t>55.6</w:t>
                  </w:r>
                </w:p>
              </w:tc>
              <w:tc>
                <w:tcPr>
                  <w:tcW w:w="780" w:type="pct"/>
                  <w:vMerge w:val="continue"/>
                  <w:tcBorders>
                    <w:left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p>
              </w:tc>
              <w:tc>
                <w:tcPr>
                  <w:tcW w:w="782"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513" w:type="pct"/>
                  <w:tcBorders>
                    <w:top w:val="single" w:color="auto" w:sz="4" w:space="0"/>
                    <w:left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default"/>
                    </w:rPr>
                    <w:t>N</w:t>
                  </w:r>
                  <w:r>
                    <w:rPr>
                      <w:rFonts w:hint="default"/>
                      <w:lang w:val="en-US" w:eastAsia="zh-CN"/>
                    </w:rPr>
                    <w:t>2</w:t>
                  </w:r>
                </w:p>
              </w:tc>
              <w:tc>
                <w:tcPr>
                  <w:tcW w:w="1200" w:type="pct"/>
                  <w:tcBorders>
                    <w:top w:val="single" w:color="auto" w:sz="4" w:space="0"/>
                    <w:left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default"/>
                      <w:lang w:val="en-US" w:eastAsia="zh-CN"/>
                    </w:rPr>
                    <w:t>西厂界外1米</w:t>
                  </w:r>
                </w:p>
              </w:tc>
              <w:tc>
                <w:tcPr>
                  <w:tcW w:w="871" w:type="pct"/>
                  <w:vMerge w:val="continue"/>
                  <w:tcBorders>
                    <w:left w:val="single" w:color="auto" w:sz="4" w:space="0"/>
                    <w:right w:val="single" w:color="auto" w:sz="4" w:space="0"/>
                  </w:tcBorders>
                  <w:noWrap w:val="0"/>
                  <w:vAlign w:val="center"/>
                </w:tcPr>
                <w:p>
                  <w:pPr>
                    <w:autoSpaceDE w:val="0"/>
                    <w:autoSpaceDN w:val="0"/>
                    <w:adjustRightInd w:val="0"/>
                    <w:spacing w:before="100" w:after="100" w:line="240" w:lineRule="atLeast"/>
                    <w:jc w:val="center"/>
                    <w:rPr>
                      <w:rFonts w:hint="default"/>
                    </w:rPr>
                  </w:pPr>
                </w:p>
              </w:tc>
              <w:tc>
                <w:tcPr>
                  <w:tcW w:w="851" w:type="pct"/>
                  <w:tcBorders>
                    <w:top w:val="single" w:color="auto" w:sz="4" w:space="0"/>
                    <w:left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default"/>
                      <w:lang w:val="en-US" w:eastAsia="zh-CN"/>
                    </w:rPr>
                    <w:t>57.9</w:t>
                  </w:r>
                </w:p>
              </w:tc>
              <w:tc>
                <w:tcPr>
                  <w:tcW w:w="780" w:type="pct"/>
                  <w:vMerge w:val="continue"/>
                  <w:tcBorders>
                    <w:left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p>
              </w:tc>
              <w:tc>
                <w:tcPr>
                  <w:tcW w:w="782" w:type="pct"/>
                  <w:tcBorders>
                    <w:top w:val="single" w:color="auto" w:sz="4" w:space="0"/>
                    <w:left w:val="single" w:color="auto" w:sz="4" w:space="0"/>
                    <w:right w:val="single" w:color="auto" w:sz="4" w:space="0"/>
                  </w:tcBorders>
                  <w:noWrap w:val="0"/>
                  <w:vAlign w:val="center"/>
                </w:tcPr>
                <w:p>
                  <w:pPr>
                    <w:autoSpaceDE w:val="0"/>
                    <w:autoSpaceDN w:val="0"/>
                    <w:adjustRightInd w:val="0"/>
                    <w:spacing w:line="0" w:lineRule="atLeast"/>
                    <w:jc w:val="center"/>
                    <w:rPr>
                      <w:rFonts w:hint="default"/>
                      <w:lang w:val="en-US" w:eastAsia="zh-CN"/>
                    </w:rPr>
                  </w:pPr>
                  <w:r>
                    <w:rPr>
                      <w:rFonts w:hint="eastAsia"/>
                      <w:lang w:val="en-US" w:eastAsia="zh-CN"/>
                    </w:rPr>
                    <w:t>达标</w:t>
                  </w:r>
                </w:p>
              </w:tc>
            </w:tr>
          </w:tbl>
          <w:p>
            <w:pPr>
              <w:rPr>
                <w:rFonts w:hint="default"/>
              </w:rPr>
            </w:pPr>
          </w:p>
          <w:p>
            <w:pPr>
              <w:pStyle w:val="2"/>
              <w:rPr>
                <w:rFonts w:hint="default" w:ascii="Times New Roman" w:hAnsi="Times New Roman" w:eastAsia="宋体" w:cs="Times New Roman"/>
              </w:rPr>
            </w:pPr>
            <w:bookmarkStart w:id="14" w:name="_GoBack"/>
            <w:bookmarkEnd w:id="14"/>
          </w:p>
        </w:tc>
      </w:tr>
    </w:tbl>
    <w:p>
      <w:pPr>
        <w:pStyle w:val="3"/>
        <w:keepNext/>
        <w:keepLines/>
        <w:pageBreakBefore/>
        <w:bidi w:val="0"/>
        <w:spacing w:before="0" w:beforeAutospacing="0" w:after="0" w:afterLines="0" w:afterAutospacing="0" w:line="360" w:lineRule="auto"/>
        <w:ind w:firstLine="0" w:firstLineChars="0"/>
        <w:jc w:val="both"/>
        <w:outlineLvl w:val="0"/>
        <w:rPr>
          <w:rFonts w:hint="default" w:ascii="Times New Roman" w:hAnsi="Times New Roman" w:eastAsia="宋体" w:cs="Times New Roman"/>
          <w:b/>
          <w:bCs/>
          <w:sz w:val="28"/>
          <w:szCs w:val="28"/>
          <w:lang w:val="zh-CN"/>
        </w:rPr>
      </w:pPr>
      <w:bookmarkStart w:id="10" w:name="_Toc3053"/>
      <w:r>
        <w:rPr>
          <w:rFonts w:hint="default" w:ascii="Times New Roman" w:hAnsi="Times New Roman" w:eastAsia="宋体" w:cs="Times New Roman"/>
          <w:b/>
          <w:kern w:val="44"/>
          <w:sz w:val="28"/>
          <w:szCs w:val="24"/>
          <w:lang w:val="en-US" w:eastAsia="zh-CN" w:bidi="ar-SA"/>
        </w:rPr>
        <w:t>表九</w:t>
      </w:r>
      <w:r>
        <w:rPr>
          <w:rFonts w:hint="default" w:ascii="Times New Roman" w:hAnsi="Times New Roman" w:eastAsia="宋体" w:cs="Times New Roman"/>
          <w:b/>
          <w:kern w:val="44"/>
          <w:sz w:val="28"/>
          <w:szCs w:val="24"/>
          <w:lang w:val="zh-CN" w:eastAsia="zh-CN" w:bidi="ar-SA"/>
        </w:rPr>
        <w:t>、监测分析方法及质量保证</w:t>
      </w:r>
      <w:bookmarkEnd w:id="10"/>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3" w:hRule="atLeast"/>
          <w:jc w:val="center"/>
        </w:trPr>
        <w:tc>
          <w:tcPr>
            <w:tcW w:w="8522" w:type="dxa"/>
          </w:tcPr>
          <w:p>
            <w:pPr>
              <w:keepNext w:val="0"/>
              <w:keepLines w:val="0"/>
              <w:pageBreakBefore w:val="0"/>
              <w:widowControl w:val="0"/>
              <w:kinsoku/>
              <w:wordWrap/>
              <w:overflowPunct/>
              <w:topLinePunct w:val="0"/>
              <w:autoSpaceDE w:val="0"/>
              <w:autoSpaceDN w:val="0"/>
              <w:bidi w:val="0"/>
              <w:adjustRightInd w:val="0"/>
              <w:snapToGrid w:val="0"/>
              <w:spacing w:beforeLines="50"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1、监测过程中实施全过程的质量控制，监测分析方法采用国家和行业主管部门颁布的标准(或推荐)方法。监测人员经过技术考核合格并持有</w:t>
            </w:r>
            <w:r>
              <w:rPr>
                <w:rFonts w:hint="default" w:ascii="Times New Roman" w:hAnsi="Times New Roman" w:eastAsia="宋体" w:cs="Times New Roman"/>
                <w:sz w:val="24"/>
                <w:szCs w:val="24"/>
                <w:lang w:eastAsia="zh-CN"/>
              </w:rPr>
              <w:t>上岗</w:t>
            </w:r>
            <w:r>
              <w:rPr>
                <w:rFonts w:hint="default" w:ascii="Times New Roman" w:hAnsi="Times New Roman" w:eastAsia="宋体" w:cs="Times New Roman"/>
                <w:sz w:val="24"/>
                <w:szCs w:val="24"/>
              </w:rPr>
              <w:t>证书。所用的监测仪器均经过法定计量检定并在有效期内。分析测试前后，对所用的测试仪器进行了必要的校准。监测项目、分析方法、监测仪器及型号见</w:t>
            </w:r>
            <w:r>
              <w:rPr>
                <w:rFonts w:hint="default" w:ascii="Times New Roman" w:hAnsi="Times New Roman" w:eastAsia="宋体" w:cs="Times New Roman"/>
                <w:sz w:val="24"/>
                <w:szCs w:val="24"/>
                <w:lang w:eastAsia="zh-CN"/>
              </w:rPr>
              <w:t>表</w:t>
            </w: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lang w:eastAsia="zh-CN"/>
              </w:rPr>
              <w:t>-1、表</w:t>
            </w: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val="0"/>
              <w:autoSpaceDN w:val="0"/>
              <w:bidi w:val="0"/>
              <w:adjustRightInd w:val="0"/>
              <w:snapToGrid w:val="0"/>
              <w:spacing w:beforeLines="50"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2、仪器校准：采样前，在实验室对pH计进行校准，并及时填写记录。烟气测定仪使用前用标准气体检查准确度并进行了校准，仪器示值偏差在合格范围内（±5%）。</w:t>
            </w:r>
          </w:p>
          <w:p>
            <w:pPr>
              <w:keepNext w:val="0"/>
              <w:keepLines w:val="0"/>
              <w:pageBreakBefore w:val="0"/>
              <w:widowControl w:val="0"/>
              <w:kinsoku/>
              <w:wordWrap/>
              <w:overflowPunct/>
              <w:topLinePunct w:val="0"/>
              <w:autoSpaceDE w:val="0"/>
              <w:autoSpaceDN w:val="0"/>
              <w:bidi w:val="0"/>
              <w:adjustRightInd w:val="0"/>
              <w:snapToGrid w:val="0"/>
              <w:spacing w:beforeLines="50"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采样前核查：现场核查了生产工况、采样点位（位置）和采样器具。</w:t>
            </w:r>
          </w:p>
          <w:p>
            <w:pPr>
              <w:keepNext w:val="0"/>
              <w:keepLines w:val="0"/>
              <w:pageBreakBefore w:val="0"/>
              <w:widowControl w:val="0"/>
              <w:kinsoku/>
              <w:wordWrap/>
              <w:overflowPunct/>
              <w:topLinePunct w:val="0"/>
              <w:autoSpaceDE w:val="0"/>
              <w:autoSpaceDN w:val="0"/>
              <w:bidi w:val="0"/>
              <w:adjustRightInd w:val="0"/>
              <w:snapToGrid w:val="0"/>
              <w:spacing w:beforeLines="50"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场采样：水质采样时根据测定项目选择了相应的采样器具、固定剂、水样-容器，采样前先用带采集水样荡洗采样器与水样容器2-3次，然后将适量水根据不同的项目装入相应材质的容器内，并按要求立即加入相应的固定剂，贴好标签。</w:t>
            </w:r>
          </w:p>
          <w:p>
            <w:pPr>
              <w:keepNext w:val="0"/>
              <w:keepLines w:val="0"/>
              <w:pageBreakBefore w:val="0"/>
              <w:widowControl w:val="0"/>
              <w:kinsoku/>
              <w:wordWrap/>
              <w:overflowPunct/>
              <w:topLinePunct w:val="0"/>
              <w:autoSpaceDE w:val="0"/>
              <w:autoSpaceDN w:val="0"/>
              <w:bidi w:val="0"/>
              <w:adjustRightInd w:val="0"/>
              <w:snapToGrid w:val="0"/>
              <w:spacing w:beforeLines="50"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质控样品：每批水质样品除pH等特殊项目外，其余项目均加一个现场全程序空白样，随同样品一起测定，同时每批水质样品采集不少于10%的现场平行样。</w:t>
            </w:r>
          </w:p>
          <w:p>
            <w:pPr>
              <w:keepNext w:val="0"/>
              <w:keepLines w:val="0"/>
              <w:pageBreakBefore w:val="0"/>
              <w:widowControl w:val="0"/>
              <w:kinsoku/>
              <w:wordWrap/>
              <w:overflowPunct/>
              <w:topLinePunct w:val="0"/>
              <w:autoSpaceDE w:val="0"/>
              <w:autoSpaceDN w:val="0"/>
              <w:bidi w:val="0"/>
              <w:adjustRightInd w:val="0"/>
              <w:snapToGrid w:val="0"/>
              <w:spacing w:beforeLines="50"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现场记录：现场填写采样记录，记录内容包括感官（颜色、气味、浮油）pH、气象参数等现场测定参数。</w:t>
            </w:r>
          </w:p>
          <w:p>
            <w:pPr>
              <w:keepNext w:val="0"/>
              <w:keepLines w:val="0"/>
              <w:pageBreakBefore w:val="0"/>
              <w:widowControl w:val="0"/>
              <w:kinsoku/>
              <w:wordWrap/>
              <w:overflowPunct/>
              <w:topLinePunct w:val="0"/>
              <w:autoSpaceDE w:val="0"/>
              <w:autoSpaceDN w:val="0"/>
              <w:bidi w:val="0"/>
              <w:adjustRightInd w:val="0"/>
              <w:snapToGrid w:val="0"/>
              <w:spacing w:beforeLines="50" w:line="360" w:lineRule="auto"/>
              <w:ind w:firstLine="480" w:firstLineChars="200"/>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、厂界噪声验收监测期间符合《工业企业厂界环境噪声排放标准》（GB 12348-2008）所要求的气候条件（风速小于5.0米/秒），噪声监测仪在测试前后均用标准声源进行校准。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sz w:val="24"/>
                <w:szCs w:val="24"/>
                <w:highlight w:val="none"/>
                <w:lang w:val="en-US" w:eastAsia="zh-CN"/>
              </w:rPr>
            </w:pPr>
            <w:r>
              <w:rPr>
                <w:rFonts w:hint="default" w:ascii="Times New Roman" w:hAnsi="Times New Roman" w:eastAsia="宋体" w:cs="Times New Roman"/>
                <w:b/>
                <w:sz w:val="24"/>
                <w:szCs w:val="24"/>
                <w:highlight w:val="none"/>
                <w:lang w:val="en-US" w:eastAsia="zh-CN"/>
              </w:rPr>
              <w:t>表</w:t>
            </w:r>
            <w:r>
              <w:rPr>
                <w:rFonts w:hint="eastAsia" w:ascii="Times New Roman" w:hAnsi="Times New Roman" w:cs="Times New Roman"/>
                <w:b/>
                <w:sz w:val="24"/>
                <w:szCs w:val="24"/>
                <w:highlight w:val="none"/>
                <w:lang w:val="en-US" w:eastAsia="zh-CN"/>
              </w:rPr>
              <w:t>9</w:t>
            </w:r>
            <w:r>
              <w:rPr>
                <w:rFonts w:hint="default" w:ascii="Times New Roman" w:hAnsi="Times New Roman" w:eastAsia="宋体" w:cs="Times New Roman"/>
                <w:b/>
                <w:sz w:val="24"/>
                <w:szCs w:val="24"/>
                <w:highlight w:val="none"/>
                <w:lang w:val="en-US" w:eastAsia="zh-CN"/>
              </w:rPr>
              <w:t>-1  检测依据一览表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2070"/>
              <w:gridCol w:w="5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9" w:type="dxa"/>
                  <w:noWrap w:val="0"/>
                  <w:vAlign w:val="center"/>
                </w:tcPr>
                <w:p>
                  <w:pPr>
                    <w:jc w:val="center"/>
                    <w:rPr>
                      <w:rFonts w:hint="default" w:ascii="Times New Roman" w:hAnsi="Times New Roman" w:cs="Times New Roman"/>
                      <w:spacing w:val="0"/>
                      <w:kern w:val="2"/>
                      <w:sz w:val="21"/>
                      <w:szCs w:val="21"/>
                      <w:lang w:val="en-US" w:eastAsia="zh-CN" w:bidi="ar-SA"/>
                    </w:rPr>
                  </w:pPr>
                  <w:r>
                    <w:rPr>
                      <w:rFonts w:hint="default" w:ascii="Times New Roman" w:hAnsi="Times New Roman" w:cs="Times New Roman"/>
                      <w:spacing w:val="0"/>
                      <w:sz w:val="21"/>
                      <w:szCs w:val="21"/>
                    </w:rPr>
                    <w:t>检测类别</w:t>
                  </w:r>
                </w:p>
              </w:tc>
              <w:tc>
                <w:tcPr>
                  <w:tcW w:w="2070" w:type="dxa"/>
                  <w:noWrap w:val="0"/>
                  <w:vAlign w:val="center"/>
                </w:tcPr>
                <w:p>
                  <w:pPr>
                    <w:jc w:val="center"/>
                    <w:rPr>
                      <w:rFonts w:hint="default" w:ascii="Times New Roman" w:hAnsi="Times New Roman" w:cs="Times New Roman"/>
                      <w:spacing w:val="0"/>
                      <w:kern w:val="2"/>
                      <w:sz w:val="21"/>
                      <w:szCs w:val="21"/>
                      <w:lang w:val="en-US" w:eastAsia="zh-CN" w:bidi="ar-SA"/>
                    </w:rPr>
                  </w:pPr>
                  <w:r>
                    <w:rPr>
                      <w:rFonts w:hint="default" w:ascii="Times New Roman" w:hAnsi="Times New Roman" w:cs="Times New Roman"/>
                      <w:spacing w:val="0"/>
                      <w:sz w:val="21"/>
                      <w:szCs w:val="21"/>
                    </w:rPr>
                    <w:t>项目</w:t>
                  </w:r>
                </w:p>
              </w:tc>
              <w:tc>
                <w:tcPr>
                  <w:tcW w:w="5187" w:type="dxa"/>
                  <w:noWrap w:val="0"/>
                  <w:vAlign w:val="center"/>
                </w:tcPr>
                <w:p>
                  <w:pPr>
                    <w:jc w:val="center"/>
                    <w:rPr>
                      <w:rFonts w:hint="default" w:ascii="Times New Roman" w:hAnsi="Times New Roman" w:cs="Times New Roman"/>
                      <w:spacing w:val="0"/>
                      <w:kern w:val="2"/>
                      <w:sz w:val="21"/>
                      <w:szCs w:val="21"/>
                      <w:lang w:val="en-US" w:eastAsia="zh-CN" w:bidi="ar-SA"/>
                    </w:rPr>
                  </w:pPr>
                  <w:r>
                    <w:rPr>
                      <w:rFonts w:hint="default" w:ascii="Times New Roman" w:hAnsi="Times New Roman" w:cs="Times New Roman"/>
                      <w:spacing w:val="0"/>
                      <w:sz w:val="21"/>
                      <w:szCs w:val="21"/>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9" w:type="dxa"/>
                  <w:vMerge w:val="restart"/>
                  <w:noWrap w:val="0"/>
                  <w:vAlign w:val="center"/>
                </w:tcPr>
                <w:p>
                  <w:pPr>
                    <w:jc w:val="center"/>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废水</w:t>
                  </w:r>
                </w:p>
              </w:tc>
              <w:tc>
                <w:tcPr>
                  <w:tcW w:w="2070" w:type="dxa"/>
                  <w:noWrap w:val="0"/>
                  <w:vAlign w:val="center"/>
                </w:tcPr>
                <w:p>
                  <w:pPr>
                    <w:jc w:val="center"/>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pH值</w:t>
                  </w:r>
                </w:p>
              </w:tc>
              <w:tc>
                <w:tcPr>
                  <w:tcW w:w="5187" w:type="dxa"/>
                  <w:noWrap w:val="0"/>
                  <w:vAlign w:val="center"/>
                </w:tcPr>
                <w:p>
                  <w:pPr>
                    <w:jc w:val="center"/>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水质 pH值的测定 电极法 HJ 1147-2020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9" w:type="dxa"/>
                  <w:vMerge w:val="continue"/>
                  <w:noWrap w:val="0"/>
                  <w:vAlign w:val="center"/>
                </w:tcPr>
                <w:p>
                  <w:pPr>
                    <w:jc w:val="center"/>
                    <w:rPr>
                      <w:rFonts w:hint="default" w:ascii="Times New Roman" w:hAnsi="Times New Roman" w:cs="Times New Roman"/>
                      <w:spacing w:val="0"/>
                      <w:sz w:val="21"/>
                      <w:szCs w:val="21"/>
                      <w:lang w:val="en-US" w:eastAsia="zh-CN"/>
                    </w:rPr>
                  </w:pPr>
                </w:p>
              </w:tc>
              <w:tc>
                <w:tcPr>
                  <w:tcW w:w="2070" w:type="dxa"/>
                  <w:noWrap w:val="0"/>
                  <w:vAlign w:val="center"/>
                </w:tcPr>
                <w:p>
                  <w:pPr>
                    <w:jc w:val="center"/>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悬浮物</w:t>
                  </w:r>
                </w:p>
              </w:tc>
              <w:tc>
                <w:tcPr>
                  <w:tcW w:w="5187" w:type="dxa"/>
                  <w:noWrap w:val="0"/>
                  <w:vAlign w:val="center"/>
                </w:tcPr>
                <w:p>
                  <w:pPr>
                    <w:jc w:val="center"/>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水质 悬浮物的测定 重量法 GB/T 11901-1989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9" w:type="dxa"/>
                  <w:vMerge w:val="continue"/>
                  <w:noWrap w:val="0"/>
                  <w:vAlign w:val="center"/>
                </w:tcPr>
                <w:p>
                  <w:pPr>
                    <w:jc w:val="center"/>
                    <w:rPr>
                      <w:rFonts w:hint="default" w:ascii="Times New Roman" w:hAnsi="Times New Roman" w:cs="Times New Roman"/>
                      <w:spacing w:val="0"/>
                      <w:sz w:val="21"/>
                      <w:szCs w:val="21"/>
                      <w:lang w:val="en-US" w:eastAsia="zh-CN"/>
                    </w:rPr>
                  </w:pPr>
                </w:p>
              </w:tc>
              <w:tc>
                <w:tcPr>
                  <w:tcW w:w="2070" w:type="dxa"/>
                  <w:noWrap w:val="0"/>
                  <w:vAlign w:val="center"/>
                </w:tcPr>
                <w:p>
                  <w:pPr>
                    <w:jc w:val="center"/>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氨氮</w:t>
                  </w:r>
                </w:p>
              </w:tc>
              <w:tc>
                <w:tcPr>
                  <w:tcW w:w="5187" w:type="dxa"/>
                  <w:noWrap w:val="0"/>
                  <w:vAlign w:val="center"/>
                </w:tcPr>
                <w:p>
                  <w:pPr>
                    <w:jc w:val="center"/>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水质 氨氮的测定 纳氏试剂分光光度法 HJ 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9" w:type="dxa"/>
                  <w:vMerge w:val="continue"/>
                  <w:noWrap w:val="0"/>
                  <w:vAlign w:val="center"/>
                </w:tcPr>
                <w:p>
                  <w:pPr>
                    <w:jc w:val="center"/>
                    <w:rPr>
                      <w:rFonts w:hint="default" w:ascii="Times New Roman" w:hAnsi="Times New Roman" w:cs="Times New Roman"/>
                      <w:spacing w:val="0"/>
                      <w:sz w:val="21"/>
                      <w:szCs w:val="21"/>
                      <w:lang w:val="en-US" w:eastAsia="zh-CN"/>
                    </w:rPr>
                  </w:pPr>
                </w:p>
              </w:tc>
              <w:tc>
                <w:tcPr>
                  <w:tcW w:w="2070" w:type="dxa"/>
                  <w:noWrap w:val="0"/>
                  <w:vAlign w:val="center"/>
                </w:tcPr>
                <w:p>
                  <w:pPr>
                    <w:jc w:val="center"/>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总磷</w:t>
                  </w:r>
                </w:p>
              </w:tc>
              <w:tc>
                <w:tcPr>
                  <w:tcW w:w="5187" w:type="dxa"/>
                  <w:noWrap w:val="0"/>
                  <w:vAlign w:val="center"/>
                </w:tcPr>
                <w:p>
                  <w:pPr>
                    <w:jc w:val="center"/>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水质 总磷的测定 钼酸铵分光光度法GB/T 11893-1989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9" w:type="dxa"/>
                  <w:vMerge w:val="continue"/>
                  <w:noWrap w:val="0"/>
                  <w:vAlign w:val="center"/>
                </w:tcPr>
                <w:p>
                  <w:pPr>
                    <w:jc w:val="center"/>
                    <w:rPr>
                      <w:rFonts w:hint="default" w:ascii="Times New Roman" w:hAnsi="Times New Roman" w:cs="Times New Roman"/>
                      <w:spacing w:val="0"/>
                      <w:sz w:val="21"/>
                      <w:szCs w:val="21"/>
                      <w:lang w:val="en-US" w:eastAsia="zh-CN"/>
                    </w:rPr>
                  </w:pPr>
                </w:p>
              </w:tc>
              <w:tc>
                <w:tcPr>
                  <w:tcW w:w="2070" w:type="dxa"/>
                  <w:noWrap w:val="0"/>
                  <w:vAlign w:val="center"/>
                </w:tcPr>
                <w:p>
                  <w:pPr>
                    <w:jc w:val="center"/>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化学需氧量</w:t>
                  </w:r>
                </w:p>
              </w:tc>
              <w:tc>
                <w:tcPr>
                  <w:tcW w:w="5187" w:type="dxa"/>
                  <w:noWrap w:val="0"/>
                  <w:vAlign w:val="center"/>
                </w:tcPr>
                <w:p>
                  <w:pPr>
                    <w:jc w:val="center"/>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水质 化学需氧量的测定 重铬酸盐法 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9" w:type="dxa"/>
                  <w:noWrap w:val="0"/>
                  <w:vAlign w:val="center"/>
                </w:tcPr>
                <w:p>
                  <w:pPr>
                    <w:jc w:val="center"/>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噪声</w:t>
                  </w:r>
                </w:p>
              </w:tc>
              <w:tc>
                <w:tcPr>
                  <w:tcW w:w="2070" w:type="dxa"/>
                  <w:noWrap w:val="0"/>
                  <w:vAlign w:val="center"/>
                </w:tcPr>
                <w:p>
                  <w:pPr>
                    <w:jc w:val="center"/>
                    <w:rPr>
                      <w:rFonts w:hint="default" w:ascii="Times New Roman" w:hAnsi="Times New Roman" w:cs="Times New Roman"/>
                      <w:lang w:val="en-US" w:eastAsia="zh-CN"/>
                    </w:rPr>
                  </w:pPr>
                  <w:r>
                    <w:rPr>
                      <w:rFonts w:hint="default" w:ascii="Times New Roman" w:hAnsi="Times New Roman" w:cs="Times New Roman"/>
                      <w:color w:val="auto"/>
                      <w:spacing w:val="0"/>
                      <w:sz w:val="21"/>
                      <w:szCs w:val="21"/>
                      <w:highlight w:val="none"/>
                      <w:lang w:val="en-US" w:eastAsia="zh-CN"/>
                    </w:rPr>
                    <w:t>厂界环境噪声</w:t>
                  </w:r>
                </w:p>
              </w:tc>
              <w:tc>
                <w:tcPr>
                  <w:tcW w:w="5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highlight w:val="none"/>
                      <w:lang w:val="en-US" w:eastAsia="zh-CN"/>
                    </w:rPr>
                    <w:t>工业企业厂界环境噪声排放标准 GB 12348-2008</w:t>
                  </w:r>
                </w:p>
              </w:tc>
            </w:tr>
          </w:tbl>
          <w:p>
            <w:pPr>
              <w:pStyle w:val="2"/>
              <w:jc w:val="both"/>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sz w:val="24"/>
                <w:szCs w:val="24"/>
                <w:highlight w:val="none"/>
                <w:lang w:val="zh-CN" w:eastAsia="zh-CN"/>
              </w:rPr>
            </w:pPr>
            <w:r>
              <w:rPr>
                <w:rFonts w:hint="default" w:ascii="Times New Roman" w:hAnsi="Times New Roman" w:eastAsia="宋体" w:cs="Times New Roman"/>
                <w:b/>
                <w:sz w:val="24"/>
                <w:szCs w:val="24"/>
                <w:highlight w:val="none"/>
                <w:lang w:val="zh-CN" w:eastAsia="zh-CN"/>
              </w:rPr>
              <w:t>表</w:t>
            </w:r>
            <w:r>
              <w:rPr>
                <w:rFonts w:hint="eastAsia" w:ascii="Times New Roman" w:hAnsi="Times New Roman" w:cs="Times New Roman"/>
                <w:b/>
                <w:sz w:val="24"/>
                <w:szCs w:val="24"/>
                <w:highlight w:val="none"/>
                <w:lang w:val="en-US" w:eastAsia="zh-CN"/>
              </w:rPr>
              <w:t>9</w:t>
            </w:r>
            <w:r>
              <w:rPr>
                <w:rFonts w:hint="default" w:ascii="Times New Roman" w:hAnsi="Times New Roman" w:eastAsia="宋体" w:cs="Times New Roman"/>
                <w:b/>
                <w:sz w:val="24"/>
                <w:szCs w:val="24"/>
                <w:highlight w:val="none"/>
                <w:lang w:val="en-US" w:eastAsia="zh-CN"/>
              </w:rPr>
              <w:t xml:space="preserve">-2  </w:t>
            </w:r>
            <w:r>
              <w:rPr>
                <w:rFonts w:hint="default" w:ascii="Times New Roman" w:hAnsi="Times New Roman" w:eastAsia="宋体" w:cs="Times New Roman"/>
                <w:b/>
                <w:sz w:val="24"/>
                <w:szCs w:val="24"/>
                <w:highlight w:val="none"/>
                <w:lang w:val="zh-CN" w:eastAsia="zh-CN"/>
              </w:rPr>
              <w:t>仪器信息一览表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8"/>
              <w:gridCol w:w="1649"/>
              <w:gridCol w:w="1974"/>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098" w:type="dxa"/>
                  <w:noWrap w:val="0"/>
                  <w:vAlign w:val="center"/>
                </w:tcPr>
                <w:p>
                  <w:pPr>
                    <w:jc w:val="center"/>
                    <w:rPr>
                      <w:rFonts w:hint="default" w:ascii="Times New Roman" w:hAnsi="Times New Roman" w:cs="Times New Roman"/>
                      <w:spacing w:val="0"/>
                      <w:sz w:val="21"/>
                      <w:szCs w:val="21"/>
                    </w:rPr>
                  </w:pPr>
                  <w:r>
                    <w:rPr>
                      <w:rFonts w:hint="default" w:ascii="Times New Roman" w:hAnsi="Times New Roman" w:cs="Times New Roman"/>
                      <w:spacing w:val="0"/>
                      <w:sz w:val="21"/>
                      <w:szCs w:val="21"/>
                    </w:rPr>
                    <w:t>仪器名称</w:t>
                  </w:r>
                </w:p>
              </w:tc>
              <w:tc>
                <w:tcPr>
                  <w:tcW w:w="1649" w:type="dxa"/>
                  <w:noWrap w:val="0"/>
                  <w:vAlign w:val="center"/>
                </w:tcPr>
                <w:p>
                  <w:pPr>
                    <w:jc w:val="center"/>
                    <w:rPr>
                      <w:rFonts w:hint="default" w:ascii="Times New Roman" w:hAnsi="Times New Roman" w:cs="Times New Roman"/>
                      <w:spacing w:val="0"/>
                      <w:sz w:val="21"/>
                      <w:szCs w:val="21"/>
                    </w:rPr>
                  </w:pPr>
                  <w:r>
                    <w:rPr>
                      <w:rFonts w:hint="default" w:ascii="Times New Roman" w:hAnsi="Times New Roman" w:cs="Times New Roman"/>
                      <w:spacing w:val="0"/>
                      <w:sz w:val="21"/>
                      <w:szCs w:val="21"/>
                    </w:rPr>
                    <w:t>型号</w:t>
                  </w:r>
                </w:p>
              </w:tc>
              <w:tc>
                <w:tcPr>
                  <w:tcW w:w="1974" w:type="dxa"/>
                  <w:noWrap w:val="0"/>
                  <w:vAlign w:val="center"/>
                </w:tcPr>
                <w:p>
                  <w:pPr>
                    <w:jc w:val="center"/>
                    <w:rPr>
                      <w:rFonts w:hint="default" w:ascii="Times New Roman" w:hAnsi="Times New Roman" w:cs="Times New Roman"/>
                      <w:spacing w:val="0"/>
                      <w:sz w:val="21"/>
                      <w:szCs w:val="21"/>
                    </w:rPr>
                  </w:pPr>
                  <w:r>
                    <w:rPr>
                      <w:rFonts w:hint="default" w:ascii="Times New Roman" w:hAnsi="Times New Roman" w:cs="Times New Roman"/>
                      <w:spacing w:val="0"/>
                      <w:sz w:val="21"/>
                      <w:szCs w:val="21"/>
                    </w:rPr>
                    <w:t>仪器编号</w:t>
                  </w:r>
                </w:p>
              </w:tc>
              <w:tc>
                <w:tcPr>
                  <w:tcW w:w="1575" w:type="dxa"/>
                  <w:noWrap w:val="0"/>
                  <w:vAlign w:val="center"/>
                </w:tcPr>
                <w:p>
                  <w:pPr>
                    <w:jc w:val="center"/>
                    <w:rPr>
                      <w:rFonts w:hint="default" w:ascii="Times New Roman" w:hAnsi="Times New Roman" w:cs="Times New Roman"/>
                      <w:spacing w:val="0"/>
                      <w:sz w:val="21"/>
                      <w:szCs w:val="21"/>
                    </w:rPr>
                  </w:pPr>
                  <w:r>
                    <w:rPr>
                      <w:rFonts w:hint="default" w:ascii="Times New Roman" w:hAnsi="Times New Roman" w:cs="Times New Roman"/>
                      <w:spacing w:val="0"/>
                      <w:sz w:val="21"/>
                      <w:szCs w:val="21"/>
                    </w:rPr>
                    <w:t>检定有效期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09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多功能声级计</w:t>
                  </w:r>
                </w:p>
              </w:tc>
              <w:tc>
                <w:tcPr>
                  <w:tcW w:w="16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AWA5688</w:t>
                  </w:r>
                </w:p>
              </w:tc>
              <w:tc>
                <w:tcPr>
                  <w:tcW w:w="1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JCSB-C-035-12</w:t>
                  </w:r>
                </w:p>
              </w:tc>
              <w:tc>
                <w:tcPr>
                  <w:tcW w:w="15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2023.03.15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09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声校准器</w:t>
                  </w:r>
                </w:p>
              </w:tc>
              <w:tc>
                <w:tcPr>
                  <w:tcW w:w="16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AWA6021A</w:t>
                  </w:r>
                </w:p>
              </w:tc>
              <w:tc>
                <w:tcPr>
                  <w:tcW w:w="1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JCSB-C-054-12</w:t>
                  </w:r>
                </w:p>
              </w:tc>
              <w:tc>
                <w:tcPr>
                  <w:tcW w:w="15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2023.03.15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09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气象参数仪</w:t>
                  </w:r>
                </w:p>
              </w:tc>
              <w:tc>
                <w:tcPr>
                  <w:tcW w:w="16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Kestrel5500</w:t>
                  </w:r>
                </w:p>
              </w:tc>
              <w:tc>
                <w:tcPr>
                  <w:tcW w:w="1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JCSB-F-041-25</w:t>
                  </w:r>
                </w:p>
              </w:tc>
              <w:tc>
                <w:tcPr>
                  <w:tcW w:w="15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2022.09.17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09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便携式电化学仪</w:t>
                  </w:r>
                </w:p>
              </w:tc>
              <w:tc>
                <w:tcPr>
                  <w:tcW w:w="16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SX836</w:t>
                  </w:r>
                </w:p>
              </w:tc>
              <w:tc>
                <w:tcPr>
                  <w:tcW w:w="1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JCSB-C-074-4</w:t>
                  </w:r>
                </w:p>
              </w:tc>
              <w:tc>
                <w:tcPr>
                  <w:tcW w:w="15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2022.11.24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09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可见分光光度计</w:t>
                  </w:r>
                </w:p>
              </w:tc>
              <w:tc>
                <w:tcPr>
                  <w:tcW w:w="16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N2S</w:t>
                  </w:r>
                </w:p>
              </w:tc>
              <w:tc>
                <w:tcPr>
                  <w:tcW w:w="1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JCSB-C-005-5</w:t>
                  </w:r>
                </w:p>
              </w:tc>
              <w:tc>
                <w:tcPr>
                  <w:tcW w:w="15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2022.09.02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09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数字滴定器</w:t>
                  </w:r>
                </w:p>
              </w:tc>
              <w:tc>
                <w:tcPr>
                  <w:tcW w:w="16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brand</w:t>
                  </w:r>
                </w:p>
              </w:tc>
              <w:tc>
                <w:tcPr>
                  <w:tcW w:w="1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JCSB-C-033-8</w:t>
                  </w:r>
                </w:p>
              </w:tc>
              <w:tc>
                <w:tcPr>
                  <w:tcW w:w="15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2022.11.04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09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可见分光光度计</w:t>
                  </w:r>
                </w:p>
              </w:tc>
              <w:tc>
                <w:tcPr>
                  <w:tcW w:w="16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T6新悦</w:t>
                  </w:r>
                </w:p>
              </w:tc>
              <w:tc>
                <w:tcPr>
                  <w:tcW w:w="1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JCSB-C-005-3</w:t>
                  </w:r>
                </w:p>
              </w:tc>
              <w:tc>
                <w:tcPr>
                  <w:tcW w:w="15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2023.01.03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09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电子天平</w:t>
                  </w:r>
                </w:p>
              </w:tc>
              <w:tc>
                <w:tcPr>
                  <w:tcW w:w="16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MS204S</w:t>
                  </w:r>
                </w:p>
              </w:tc>
              <w:tc>
                <w:tcPr>
                  <w:tcW w:w="1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JCSB-C-008-1</w:t>
                  </w:r>
                </w:p>
              </w:tc>
              <w:tc>
                <w:tcPr>
                  <w:tcW w:w="15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2023.01.03</w:t>
                  </w:r>
                </w:p>
              </w:tc>
            </w:tr>
          </w:tbl>
          <w:p>
            <w:pPr>
              <w:rPr>
                <w:rFonts w:hint="default" w:ascii="Times New Roman" w:hAnsi="Times New Roman" w:eastAsia="宋体" w:cs="Times New Roman"/>
              </w:rPr>
            </w:pPr>
          </w:p>
        </w:tc>
      </w:tr>
    </w:tbl>
    <w:p>
      <w:pPr>
        <w:pStyle w:val="2"/>
        <w:rPr>
          <w:rFonts w:hint="default" w:ascii="Times New Roman" w:hAnsi="Times New Roman" w:eastAsia="宋体" w:cs="Times New Roman"/>
          <w:lang w:val="zh-CN"/>
        </w:rPr>
      </w:pPr>
    </w:p>
    <w:p>
      <w:pPr>
        <w:pStyle w:val="2"/>
        <w:rPr>
          <w:rFonts w:hint="default" w:ascii="Times New Roman" w:hAnsi="Times New Roman" w:eastAsia="宋体" w:cs="Times New Roman"/>
          <w:lang w:val="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bidi w:val="0"/>
        <w:spacing w:before="0" w:beforeAutospacing="0" w:after="0" w:afterLines="0" w:afterAutospacing="0" w:line="360" w:lineRule="auto"/>
        <w:ind w:firstLine="0" w:firstLineChars="0"/>
        <w:jc w:val="both"/>
        <w:outlineLvl w:val="0"/>
        <w:rPr>
          <w:rFonts w:hint="default" w:ascii="Times New Roman" w:hAnsi="Times New Roman" w:eastAsia="宋体" w:cs="Times New Roman"/>
          <w:sz w:val="28"/>
          <w:szCs w:val="24"/>
          <w:lang w:val="zh-CN" w:bidi="ar-SA"/>
        </w:rPr>
      </w:pPr>
      <w:bookmarkStart w:id="11" w:name="_Toc9824"/>
      <w:r>
        <w:rPr>
          <w:rFonts w:hint="default" w:ascii="Times New Roman" w:hAnsi="Times New Roman" w:eastAsia="宋体" w:cs="Times New Roman"/>
          <w:sz w:val="28"/>
          <w:szCs w:val="24"/>
          <w:lang w:val="zh-CN" w:bidi="ar-SA"/>
        </w:rPr>
        <w:t>表十、总量核算</w:t>
      </w:r>
      <w:bookmarkEnd w:id="11"/>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3" w:hRule="atLeast"/>
        </w:trPr>
        <w:tc>
          <w:tcPr>
            <w:tcW w:w="852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表</w:t>
            </w:r>
            <w:r>
              <w:rPr>
                <w:rFonts w:hint="default" w:ascii="Times New Roman" w:hAnsi="Times New Roman" w:eastAsia="宋体" w:cs="Times New Roman"/>
                <w:b/>
                <w:bCs/>
                <w:color w:val="auto"/>
                <w:sz w:val="24"/>
                <w:szCs w:val="24"/>
                <w:lang w:val="en-US" w:eastAsia="zh-CN"/>
              </w:rPr>
              <w:t>1</w:t>
            </w:r>
            <w:r>
              <w:rPr>
                <w:rFonts w:hint="eastAsia" w:ascii="Times New Roman" w:hAnsi="Times New Roman" w:cs="Times New Roman"/>
                <w:b/>
                <w:bCs/>
                <w:color w:val="auto"/>
                <w:sz w:val="24"/>
                <w:szCs w:val="24"/>
                <w:lang w:val="en-US" w:eastAsia="zh-CN"/>
              </w:rPr>
              <w:t>0</w:t>
            </w:r>
            <w:r>
              <w:rPr>
                <w:rFonts w:hint="default" w:ascii="Times New Roman" w:hAnsi="Times New Roman" w:eastAsia="宋体" w:cs="Times New Roman"/>
                <w:b/>
                <w:bCs/>
                <w:color w:val="auto"/>
                <w:sz w:val="24"/>
                <w:szCs w:val="24"/>
                <w:lang w:val="zh-CN"/>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zh-CN"/>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zh-CN"/>
              </w:rPr>
              <w:t>废</w:t>
            </w:r>
            <w:r>
              <w:rPr>
                <w:rFonts w:hint="default" w:ascii="Times New Roman" w:hAnsi="Times New Roman" w:cs="Times New Roman"/>
                <w:b/>
                <w:bCs/>
                <w:color w:val="auto"/>
                <w:sz w:val="24"/>
                <w:szCs w:val="24"/>
                <w:lang w:val="en-US" w:eastAsia="zh-CN"/>
              </w:rPr>
              <w:t>水</w:t>
            </w:r>
            <w:r>
              <w:rPr>
                <w:rFonts w:hint="default" w:ascii="Times New Roman" w:hAnsi="Times New Roman" w:eastAsia="宋体" w:cs="Times New Roman"/>
                <w:b/>
                <w:bCs/>
                <w:color w:val="auto"/>
                <w:sz w:val="24"/>
                <w:szCs w:val="24"/>
                <w:lang w:val="zh-CN"/>
              </w:rPr>
              <w:t>污染物排放总量</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470"/>
              <w:gridCol w:w="1515"/>
              <w:gridCol w:w="1407"/>
              <w:gridCol w:w="1323"/>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2"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outlineLvl w:val="9"/>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项目</w:t>
                  </w:r>
                </w:p>
              </w:tc>
              <w:tc>
                <w:tcPr>
                  <w:tcW w:w="886"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outlineLvl w:val="9"/>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废水量</w:t>
                  </w:r>
                </w:p>
              </w:tc>
              <w:tc>
                <w:tcPr>
                  <w:tcW w:w="913"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outlineLvl w:val="9"/>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化学需氧量</w:t>
                  </w:r>
                </w:p>
              </w:tc>
              <w:tc>
                <w:tcPr>
                  <w:tcW w:w="848"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outlineLvl w:val="9"/>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氨氮</w:t>
                  </w:r>
                </w:p>
              </w:tc>
              <w:tc>
                <w:tcPr>
                  <w:tcW w:w="797"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outlineLvl w:val="9"/>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悬浮物</w:t>
                  </w:r>
                </w:p>
              </w:tc>
              <w:tc>
                <w:tcPr>
                  <w:tcW w:w="721"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outlineLvl w:val="9"/>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cs="Times New Roman"/>
                      <w:color w:val="auto"/>
                      <w:spacing w:val="0"/>
                      <w:szCs w:val="21"/>
                      <w:lang w:val="en-US" w:eastAsia="zh-CN"/>
                    </w:rPr>
                    <w:t>接管浓度（mg/L）</w:t>
                  </w:r>
                </w:p>
              </w:tc>
              <w:tc>
                <w:tcPr>
                  <w:tcW w:w="88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w:t>
                  </w:r>
                </w:p>
              </w:tc>
              <w:tc>
                <w:tcPr>
                  <w:tcW w:w="913"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 xml:space="preserve">134 </w:t>
                  </w:r>
                </w:p>
              </w:tc>
              <w:tc>
                <w:tcPr>
                  <w:tcW w:w="84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 xml:space="preserve">13.5 </w:t>
                  </w:r>
                </w:p>
              </w:tc>
              <w:tc>
                <w:tcPr>
                  <w:tcW w:w="7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 xml:space="preserve">30 </w:t>
                  </w:r>
                </w:p>
              </w:tc>
              <w:tc>
                <w:tcPr>
                  <w:tcW w:w="721"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 xml:space="preserve">1.35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cs="Times New Roman"/>
                      <w:color w:val="auto"/>
                      <w:spacing w:val="0"/>
                      <w:szCs w:val="21"/>
                      <w:lang w:val="en-US" w:eastAsia="zh-CN"/>
                    </w:rPr>
                    <w:t>排放量（t/a）</w:t>
                  </w:r>
                </w:p>
              </w:tc>
              <w:tc>
                <w:tcPr>
                  <w:tcW w:w="88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480</w:t>
                  </w:r>
                </w:p>
              </w:tc>
              <w:tc>
                <w:tcPr>
                  <w:tcW w:w="913"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 xml:space="preserve">0.064 </w:t>
                  </w:r>
                </w:p>
              </w:tc>
              <w:tc>
                <w:tcPr>
                  <w:tcW w:w="84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0.006</w:t>
                  </w:r>
                </w:p>
              </w:tc>
              <w:tc>
                <w:tcPr>
                  <w:tcW w:w="7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 xml:space="preserve">0.014 </w:t>
                  </w:r>
                </w:p>
              </w:tc>
              <w:tc>
                <w:tcPr>
                  <w:tcW w:w="721"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 xml:space="preserve">0.0006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cs="Times New Roman"/>
                      <w:color w:val="auto"/>
                      <w:spacing w:val="0"/>
                      <w:szCs w:val="21"/>
                      <w:lang w:val="en-US" w:eastAsia="zh-CN"/>
                    </w:rPr>
                    <w:t>核定接管总量（t/a）</w:t>
                  </w:r>
                </w:p>
              </w:tc>
              <w:tc>
                <w:tcPr>
                  <w:tcW w:w="88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480</w:t>
                  </w:r>
                </w:p>
              </w:tc>
              <w:tc>
                <w:tcPr>
                  <w:tcW w:w="913"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0.192</w:t>
                  </w:r>
                </w:p>
              </w:tc>
              <w:tc>
                <w:tcPr>
                  <w:tcW w:w="84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0.012</w:t>
                  </w:r>
                </w:p>
              </w:tc>
              <w:tc>
                <w:tcPr>
                  <w:tcW w:w="7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0.096</w:t>
                  </w:r>
                </w:p>
              </w:tc>
              <w:tc>
                <w:tcPr>
                  <w:tcW w:w="721"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lang w:val="en-US" w:eastAsia="zh-CN"/>
                    </w:rPr>
                  </w:pPr>
                  <w:r>
                    <w:rPr>
                      <w:rFonts w:hint="default" w:ascii="Times New Roman" w:hAnsi="Times New Roman" w:cs="Times New Roman"/>
                      <w:color w:val="auto"/>
                      <w:spacing w:val="0"/>
                      <w:szCs w:val="21"/>
                      <w:lang w:val="en-US" w:eastAsia="zh-CN"/>
                    </w:rPr>
                    <w:t>达标情况</w:t>
                  </w:r>
                </w:p>
              </w:tc>
              <w:tc>
                <w:tcPr>
                  <w:tcW w:w="88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cs="Times New Roman"/>
                      <w:color w:val="auto"/>
                      <w:spacing w:val="0"/>
                      <w:szCs w:val="21"/>
                      <w:highlight w:val="none"/>
                      <w:lang w:val="en-US" w:eastAsia="zh-CN"/>
                    </w:rPr>
                    <w:t>达标</w:t>
                  </w:r>
                </w:p>
              </w:tc>
              <w:tc>
                <w:tcPr>
                  <w:tcW w:w="913"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auto"/>
                      <w:spacing w:val="0"/>
                      <w:szCs w:val="21"/>
                      <w:highlight w:val="none"/>
                      <w:lang w:val="en-US" w:eastAsia="zh-CN"/>
                    </w:rPr>
                    <w:t>达标</w:t>
                  </w:r>
                </w:p>
              </w:tc>
              <w:tc>
                <w:tcPr>
                  <w:tcW w:w="84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auto"/>
                      <w:spacing w:val="0"/>
                      <w:szCs w:val="21"/>
                      <w:highlight w:val="none"/>
                      <w:lang w:val="en-US" w:eastAsia="zh-CN"/>
                    </w:rPr>
                    <w:t>达标</w:t>
                  </w:r>
                </w:p>
              </w:tc>
              <w:tc>
                <w:tcPr>
                  <w:tcW w:w="7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cs="Times New Roman"/>
                      <w:color w:val="auto"/>
                      <w:spacing w:val="0"/>
                      <w:szCs w:val="21"/>
                      <w:highlight w:val="none"/>
                      <w:lang w:val="en-US" w:eastAsia="zh-CN"/>
                    </w:rPr>
                    <w:t>达标</w:t>
                  </w:r>
                </w:p>
              </w:tc>
              <w:tc>
                <w:tcPr>
                  <w:tcW w:w="721"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pacing w:val="0"/>
                      <w:szCs w:val="21"/>
                      <w:highlight w:val="none"/>
                      <w:lang w:val="en-US" w:eastAsia="zh-CN"/>
                    </w:rPr>
                    <w:t>达标</w:t>
                  </w:r>
                </w:p>
              </w:tc>
            </w:tr>
          </w:tbl>
          <w:p>
            <w:pPr>
              <w:spacing w:beforeLines="0" w:afterLines="0"/>
              <w:jc w:val="left"/>
              <w:rPr>
                <w:rFonts w:hint="default" w:ascii="Times New Roman" w:hAnsi="Times New Roman" w:eastAsia="宋体" w:cs="Times New Roman"/>
                <w:lang w:val="en-US" w:eastAsia="zh-CN"/>
              </w:rPr>
            </w:pPr>
          </w:p>
        </w:tc>
      </w:tr>
    </w:tbl>
    <w:p>
      <w:pPr>
        <w:rPr>
          <w:rFonts w:hint="default" w:ascii="Times New Roman" w:hAnsi="Times New Roman" w:eastAsia="宋体" w:cs="Times New Roman"/>
        </w:rPr>
      </w:pPr>
    </w:p>
    <w:p>
      <w:pPr>
        <w:pStyle w:val="2"/>
        <w:rPr>
          <w:rFonts w:hint="default" w:ascii="Times New Roman" w:hAnsi="Times New Roman" w:eastAsia="宋体" w:cs="Times New Roman"/>
        </w:rPr>
      </w:pPr>
      <w:r>
        <w:rPr>
          <w:rFonts w:hint="default" w:ascii="Times New Roman" w:hAnsi="Times New Roman" w:eastAsia="宋体" w:cs="Times New Roman"/>
        </w:rPr>
        <w:br w:type="page"/>
      </w:r>
    </w:p>
    <w:p>
      <w:pPr>
        <w:pStyle w:val="3"/>
        <w:keepNext/>
        <w:keepLines/>
        <w:pageBreakBefore/>
        <w:bidi w:val="0"/>
        <w:spacing w:before="0" w:beforeAutospacing="0" w:after="0" w:afterLines="0" w:afterAutospacing="0" w:line="360" w:lineRule="auto"/>
        <w:ind w:firstLine="0" w:firstLineChars="0"/>
        <w:jc w:val="both"/>
        <w:outlineLvl w:val="0"/>
        <w:rPr>
          <w:rFonts w:hint="default" w:ascii="Times New Roman" w:hAnsi="Times New Roman" w:eastAsia="宋体" w:cs="Times New Roman"/>
          <w:sz w:val="28"/>
          <w:szCs w:val="24"/>
          <w:lang w:val="zh-CN" w:bidi="ar-SA"/>
        </w:rPr>
      </w:pPr>
      <w:bookmarkStart w:id="12" w:name="_Toc9869"/>
      <w:r>
        <w:rPr>
          <w:rFonts w:hint="default" w:ascii="Times New Roman" w:hAnsi="Times New Roman" w:eastAsia="宋体" w:cs="Times New Roman"/>
          <w:sz w:val="28"/>
          <w:szCs w:val="24"/>
          <w:lang w:val="zh-CN" w:bidi="ar-SA"/>
        </w:rPr>
        <w:t>表十</w:t>
      </w:r>
      <w:r>
        <w:rPr>
          <w:rFonts w:hint="default" w:ascii="Times New Roman" w:hAnsi="Times New Roman" w:eastAsia="宋体" w:cs="Times New Roman"/>
          <w:sz w:val="28"/>
          <w:szCs w:val="24"/>
          <w:lang w:val="en-US" w:eastAsia="zh-CN" w:bidi="ar-SA"/>
        </w:rPr>
        <w:t>一</w:t>
      </w:r>
      <w:r>
        <w:rPr>
          <w:rFonts w:hint="default" w:ascii="Times New Roman" w:hAnsi="Times New Roman" w:eastAsia="宋体" w:cs="Times New Roman"/>
          <w:sz w:val="28"/>
          <w:szCs w:val="24"/>
          <w:lang w:val="zh-CN" w:bidi="ar-SA"/>
        </w:rPr>
        <w:t>、验收监测结论及建议</w:t>
      </w:r>
      <w:bookmarkEnd w:id="12"/>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b/>
                <w:bCs/>
                <w:lang w:eastAsia="zh-CN"/>
              </w:rPr>
            </w:pPr>
            <w:r>
              <w:rPr>
                <w:rFonts w:hint="default" w:ascii="Times New Roman" w:hAnsi="Times New Roman" w:cs="Times New Roman"/>
                <w:b/>
                <w:bCs/>
                <w:lang w:val="en-US" w:eastAsia="zh-CN"/>
              </w:rPr>
              <w:t>1、</w:t>
            </w:r>
            <w:r>
              <w:rPr>
                <w:rFonts w:hint="default" w:ascii="Times New Roman" w:hAnsi="Times New Roman" w:cs="Times New Roman"/>
                <w:b/>
                <w:bCs/>
                <w:lang w:eastAsia="zh-CN"/>
              </w:rPr>
              <w:t>验收监测结论</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科福兴新材料科技（江苏）有限公司委托江苏新锐环境监测有限公司分别于2022年5月26日、27日对科福兴新材料科技（江苏）有限公司年产10万张海绵床垫项目进行了验收监测，监测期间该项目生产正常、工况稳定、环境保护设施运行正常</w:t>
            </w:r>
            <w:r>
              <w:rPr>
                <w:rFonts w:hint="eastAsia" w:ascii="Times New Roman" w:hAnsi="Times New Roman" w:cs="Times New Roman"/>
                <w:lang w:val="en-US" w:eastAsia="zh-CN"/>
              </w:rPr>
              <w:t>，2022年5月26日</w:t>
            </w:r>
            <w:r>
              <w:rPr>
                <w:rFonts w:hint="default" w:ascii="Times New Roman" w:hAnsi="Times New Roman" w:eastAsia="宋体" w:cs="Times New Roman"/>
                <w:lang w:val="en-US" w:eastAsia="zh-CN"/>
              </w:rPr>
              <w:t>生产负荷为</w:t>
            </w:r>
            <w:r>
              <w:rPr>
                <w:rFonts w:hint="eastAsia" w:ascii="Times New Roman" w:hAnsi="Times New Roman" w:eastAsia="宋体" w:cs="Times New Roman"/>
                <w:lang w:val="en-US" w:eastAsia="zh-CN"/>
              </w:rPr>
              <w:t>83.5</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w:t>
            </w:r>
            <w:r>
              <w:rPr>
                <w:rFonts w:hint="eastAsia" w:ascii="Times New Roman" w:hAnsi="Times New Roman" w:cs="Times New Roman"/>
                <w:lang w:val="en-US" w:eastAsia="zh-CN"/>
              </w:rPr>
              <w:t>2022年5月27日</w:t>
            </w:r>
            <w:r>
              <w:rPr>
                <w:rFonts w:hint="default" w:ascii="Times New Roman" w:hAnsi="Times New Roman" w:eastAsia="宋体" w:cs="Times New Roman"/>
                <w:lang w:val="en-US" w:eastAsia="zh-CN"/>
              </w:rPr>
              <w:t>生产负荷为8</w:t>
            </w:r>
            <w:r>
              <w:rPr>
                <w:rFonts w:hint="eastAsia" w:ascii="Times New Roman" w:hAnsi="Times New Roman" w:eastAsia="宋体" w:cs="Times New Roman"/>
                <w:lang w:val="en-US" w:eastAsia="zh-CN"/>
              </w:rPr>
              <w:t>0.8</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w:t>
            </w:r>
            <w:r>
              <w:rPr>
                <w:rFonts w:hint="eastAsia" w:ascii="Times New Roman" w:hAnsi="Times New Roman" w:cs="Times New Roman"/>
                <w:lang w:val="en-US" w:eastAsia="zh-CN"/>
              </w:rPr>
              <w:t>参考污染物排放均满足控制要求。</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（1）废水监测结果</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废水接管口pH值、化学需氧量、悬浮物浓度日均值均满足《污水综合排放标准》（GB 8978-1996）表4中的三级标准限值要求，氨氮和总磷浓度日均值均满足《污水排入城镇下水道水质标准》（CJ343-2010）表1中的B级标准限值要求。</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（2）噪声监测结果</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eastAsia="zh-CN"/>
              </w:rPr>
              <w:t>厂界环境噪声测点昼间等效声级值满足《工业企业厂界环境噪声排放标准》（GB 12348-2008）</w:t>
            </w:r>
            <w:r>
              <w:rPr>
                <w:rFonts w:hint="default" w:ascii="Times New Roman" w:hAnsi="Times New Roman" w:cs="Times New Roman"/>
                <w:lang w:val="en-US" w:eastAsia="zh-CN"/>
              </w:rPr>
              <w:t>3</w:t>
            </w:r>
            <w:r>
              <w:rPr>
                <w:rFonts w:hint="default" w:ascii="Times New Roman" w:hAnsi="Times New Roman" w:cs="Times New Roman"/>
                <w:lang w:eastAsia="zh-CN"/>
              </w:rPr>
              <w:t>类标准限值要求。</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（3）固废处置</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eastAsia="zh-CN"/>
              </w:rPr>
            </w:pPr>
            <w:r>
              <w:rPr>
                <w:rFonts w:hint="default" w:ascii="Times New Roman" w:hAnsi="Times New Roman" w:cs="Times New Roman"/>
                <w:lang w:eastAsia="zh-CN"/>
              </w:rPr>
              <w:t>本项目产生的固废均按环评要求进行了</w:t>
            </w:r>
            <w:r>
              <w:rPr>
                <w:rFonts w:hint="default" w:ascii="Times New Roman" w:hAnsi="Times New Roman" w:cs="Times New Roman"/>
              </w:rPr>
              <w:t>安全处理</w:t>
            </w:r>
            <w:r>
              <w:rPr>
                <w:rFonts w:hint="default" w:ascii="Times New Roman" w:hAnsi="Times New Roman" w:cs="Times New Roman"/>
                <w:lang w:eastAsia="zh-CN"/>
              </w:rPr>
              <w:t>和</w:t>
            </w:r>
            <w:r>
              <w:rPr>
                <w:rFonts w:hint="default" w:ascii="Times New Roman" w:hAnsi="Times New Roman" w:cs="Times New Roman"/>
              </w:rPr>
              <w:t>处置。</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（4）污染物排放总量核算结果及达标情况</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排放废水中各类污染物年排放量均满足《审批意见》中的总量控制指标要求。</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b/>
                <w:bCs/>
                <w:lang w:eastAsia="zh-CN"/>
              </w:rPr>
            </w:pPr>
            <w:r>
              <w:rPr>
                <w:rFonts w:hint="default" w:ascii="Times New Roman" w:hAnsi="Times New Roman" w:cs="Times New Roman"/>
                <w:b/>
                <w:bCs/>
                <w:lang w:val="en-US" w:eastAsia="zh-CN"/>
              </w:rPr>
              <w:t>2、</w:t>
            </w:r>
            <w:r>
              <w:rPr>
                <w:rFonts w:hint="default" w:ascii="Times New Roman" w:hAnsi="Times New Roman" w:cs="Times New Roman"/>
                <w:b/>
                <w:bCs/>
                <w:lang w:eastAsia="zh-CN"/>
              </w:rPr>
              <w:t>建议：</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加强一般固体废物的管理，做好转运和处置工作</w:t>
            </w:r>
            <w:r>
              <w:rPr>
                <w:rFonts w:hint="default" w:ascii="Times New Roman" w:hAnsi="Times New Roman" w:cs="Times New Roman"/>
                <w:lang w:val="en-US" w:eastAsia="zh-CN"/>
              </w:rPr>
              <w:t>；</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）严格按照环评及审批意见要求生产，如生产规模、生产工艺、原辅料等发生变化，须按有关规定，向环保部门申报，批准后方可实施。</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lang w:val="en-US" w:eastAsia="zh-CN"/>
              </w:rPr>
            </w:pPr>
          </w:p>
          <w:p>
            <w:pPr>
              <w:pStyle w:val="2"/>
              <w:jc w:val="both"/>
              <w:rPr>
                <w:rFonts w:hint="default" w:ascii="Times New Roman" w:hAnsi="Times New Roman" w:eastAsia="宋体" w:cs="Times New Roman"/>
                <w:color w:val="auto"/>
                <w:sz w:val="24"/>
                <w:szCs w:val="24"/>
                <w:lang w:val="en-US" w:eastAsia="zh-CN"/>
              </w:rPr>
            </w:pPr>
          </w:p>
          <w:p>
            <w:pPr>
              <w:pStyle w:val="2"/>
              <w:jc w:val="both"/>
              <w:rPr>
                <w:rFonts w:hint="default" w:ascii="Times New Roman" w:hAnsi="Times New Roman" w:eastAsia="宋体" w:cs="Times New Roman"/>
                <w:color w:val="auto"/>
                <w:sz w:val="24"/>
                <w:szCs w:val="24"/>
                <w:lang w:val="zh-CN" w:eastAsia="zh-CN"/>
              </w:rPr>
            </w:pPr>
          </w:p>
        </w:tc>
      </w:tr>
    </w:tbl>
    <w:p>
      <w:pPr>
        <w:pStyle w:val="2"/>
        <w:rPr>
          <w:rFonts w:hint="default" w:ascii="Times New Roman" w:hAnsi="Times New Roman" w:eastAsia="宋体" w:cs="Times New Roman"/>
          <w:lang w:val="zh-CN"/>
        </w:rPr>
      </w:pPr>
    </w:p>
    <w:p>
      <w:pPr>
        <w:rPr>
          <w:rFonts w:hint="default" w:ascii="Times New Roman" w:hAnsi="Times New Roman" w:eastAsia="宋体" w:cs="Times New Roman"/>
          <w:b/>
          <w:bCs/>
          <w:color w:val="auto"/>
          <w:sz w:val="28"/>
          <w:szCs w:val="28"/>
          <w:lang w:val="zh-CN"/>
        </w:rPr>
      </w:pPr>
      <w:r>
        <w:rPr>
          <w:rFonts w:hint="default" w:ascii="Times New Roman" w:hAnsi="Times New Roman" w:eastAsia="宋体" w:cs="Times New Roman"/>
          <w:b/>
          <w:bCs/>
          <w:color w:val="auto"/>
          <w:sz w:val="28"/>
          <w:szCs w:val="28"/>
          <w:lang w:val="zh-CN"/>
        </w:rPr>
        <w:br w:type="page"/>
      </w:r>
    </w:p>
    <w:p>
      <w:pPr>
        <w:pStyle w:val="3"/>
        <w:keepNext/>
        <w:keepLines/>
        <w:pageBreakBefore/>
        <w:bidi w:val="0"/>
        <w:spacing w:before="0" w:beforeAutospacing="0" w:after="0" w:afterLines="0" w:afterAutospacing="0" w:line="360" w:lineRule="auto"/>
        <w:ind w:firstLine="0" w:firstLineChars="0"/>
        <w:jc w:val="both"/>
        <w:outlineLvl w:val="0"/>
        <w:rPr>
          <w:rFonts w:hint="default" w:ascii="Times New Roman" w:hAnsi="Times New Roman" w:eastAsia="宋体" w:cs="Times New Roman"/>
          <w:sz w:val="28"/>
          <w:szCs w:val="24"/>
          <w:lang w:val="zh-CN" w:bidi="ar-SA"/>
        </w:rPr>
      </w:pPr>
      <w:bookmarkStart w:id="13" w:name="_Toc15654"/>
      <w:r>
        <w:rPr>
          <w:rFonts w:hint="default" w:ascii="Times New Roman" w:hAnsi="Times New Roman" w:eastAsia="宋体" w:cs="Times New Roman"/>
          <w:sz w:val="28"/>
          <w:szCs w:val="24"/>
          <w:lang w:val="zh-CN" w:bidi="ar-SA"/>
        </w:rPr>
        <w:t>表十</w:t>
      </w:r>
      <w:r>
        <w:rPr>
          <w:rFonts w:hint="default" w:ascii="Times New Roman" w:hAnsi="Times New Roman" w:eastAsia="宋体" w:cs="Times New Roman"/>
          <w:sz w:val="28"/>
          <w:szCs w:val="24"/>
          <w:lang w:val="en-US" w:eastAsia="zh-CN" w:bidi="ar-SA"/>
        </w:rPr>
        <w:t>二</w:t>
      </w:r>
      <w:r>
        <w:rPr>
          <w:rFonts w:hint="default" w:ascii="Times New Roman" w:hAnsi="Times New Roman" w:eastAsia="宋体" w:cs="Times New Roman"/>
          <w:sz w:val="28"/>
          <w:szCs w:val="24"/>
          <w:lang w:val="zh-CN" w:bidi="ar-SA"/>
        </w:rPr>
        <w:t>、附件</w:t>
      </w:r>
      <w:bookmarkEnd w:id="13"/>
    </w:p>
    <w:tbl>
      <w:tblPr>
        <w:tblStyle w:val="18"/>
        <w:tblW w:w="84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2" w:hRule="atLeast"/>
        </w:trPr>
        <w:tc>
          <w:tcPr>
            <w:tcW w:w="8400" w:type="dxa"/>
            <w:tcBorders>
              <w:bottom w:val="single" w:color="auto" w:sz="4" w:space="0"/>
            </w:tcBorders>
          </w:tcPr>
          <w:p>
            <w:pPr>
              <w:keepNext w:val="0"/>
              <w:keepLines w:val="0"/>
              <w:pageBreakBefore w:val="0"/>
              <w:widowControl w:val="0"/>
              <w:numPr>
                <w:ilvl w:val="0"/>
                <w:numId w:val="6"/>
              </w:numPr>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highlight w:val="none"/>
              </w:rPr>
              <w:t>立项批复（</w:t>
            </w:r>
            <w:r>
              <w:rPr>
                <w:rFonts w:hint="default" w:ascii="Times New Roman" w:hAnsi="Times New Roman" w:eastAsia="宋体" w:cs="Times New Roman"/>
                <w:sz w:val="24"/>
                <w:highlight w:val="none"/>
                <w:lang w:val="en-US" w:eastAsia="zh-CN"/>
              </w:rPr>
              <w:t>江苏省张家港保税区管理委员会</w:t>
            </w:r>
            <w:r>
              <w:rPr>
                <w:rFonts w:hint="default" w:ascii="Times New Roman" w:hAnsi="Times New Roman" w:eastAsia="宋体" w:cs="Times New Roman"/>
                <w:sz w:val="24"/>
                <w:highlight w:val="none"/>
              </w:rPr>
              <w:t>，</w:t>
            </w:r>
            <w:r>
              <w:rPr>
                <w:rFonts w:hint="default" w:ascii="Times New Roman" w:hAnsi="Times New Roman" w:cs="Times New Roman"/>
                <w:sz w:val="24"/>
                <w:highlight w:val="none"/>
                <w:lang w:val="en-US" w:eastAsia="zh-CN"/>
              </w:rPr>
              <w:t>2020年4月14日</w:t>
            </w:r>
            <w:r>
              <w:rPr>
                <w:rFonts w:hint="default" w:ascii="Times New Roman" w:hAnsi="Times New Roman" w:eastAsia="宋体" w:cs="Times New Roman"/>
                <w:sz w:val="24"/>
                <w:highlight w:val="none"/>
              </w:rPr>
              <w:t>）</w:t>
            </w:r>
          </w:p>
          <w:p>
            <w:pPr>
              <w:keepNext w:val="0"/>
              <w:keepLines w:val="0"/>
              <w:pageBreakBefore w:val="0"/>
              <w:widowControl w:val="0"/>
              <w:numPr>
                <w:ilvl w:val="0"/>
                <w:numId w:val="6"/>
              </w:numPr>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highlight w:val="none"/>
              </w:rPr>
              <w:t>《建设项目环境影响</w:t>
            </w:r>
            <w:r>
              <w:rPr>
                <w:rFonts w:hint="default" w:ascii="Times New Roman" w:hAnsi="Times New Roman" w:cs="Times New Roman"/>
                <w:sz w:val="24"/>
                <w:highlight w:val="none"/>
                <w:lang w:eastAsia="zh-CN"/>
              </w:rPr>
              <w:t>评价报告表</w:t>
            </w:r>
            <w:r>
              <w:rPr>
                <w:rFonts w:hint="default" w:ascii="Times New Roman" w:hAnsi="Times New Roman" w:eastAsia="宋体" w:cs="Times New Roman"/>
                <w:sz w:val="24"/>
                <w:highlight w:val="none"/>
              </w:rPr>
              <w:t>》</w:t>
            </w:r>
            <w:r>
              <w:rPr>
                <w:rFonts w:hint="default" w:ascii="Times New Roman" w:hAnsi="Times New Roman" w:eastAsia="宋体" w:cs="Times New Roman"/>
                <w:color w:val="auto"/>
                <w:sz w:val="24"/>
                <w:szCs w:val="24"/>
                <w:lang w:eastAsia="zh-CN"/>
              </w:rPr>
              <w:t>批复（</w:t>
            </w:r>
            <w:r>
              <w:rPr>
                <w:rFonts w:hint="default" w:ascii="Times New Roman" w:hAnsi="Times New Roman" w:eastAsia="宋体" w:cs="Times New Roman"/>
                <w:sz w:val="24"/>
                <w:highlight w:val="none"/>
                <w:lang w:val="en-US" w:eastAsia="zh-CN"/>
              </w:rPr>
              <w:t>江苏省张家港保税区管理委员会</w:t>
            </w:r>
            <w:r>
              <w:rPr>
                <w:rFonts w:hint="default" w:ascii="Times New Roman" w:hAnsi="Times New Roman" w:eastAsia="宋体" w:cs="Times New Roman"/>
                <w:color w:val="auto"/>
                <w:sz w:val="24"/>
                <w:szCs w:val="24"/>
                <w:lang w:eastAsia="zh-CN"/>
              </w:rPr>
              <w:t>，202</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eastAsia="zh-CN"/>
              </w:rPr>
              <w:t>日）；</w:t>
            </w:r>
          </w:p>
          <w:p>
            <w:pPr>
              <w:keepNext w:val="0"/>
              <w:keepLines w:val="0"/>
              <w:pageBreakBefore w:val="0"/>
              <w:widowControl w:val="0"/>
              <w:numPr>
                <w:ilvl w:val="0"/>
                <w:numId w:val="6"/>
              </w:numPr>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固定污染源</w:t>
            </w:r>
            <w:r>
              <w:rPr>
                <w:rFonts w:hint="default" w:ascii="Times New Roman" w:hAnsi="Times New Roman" w:eastAsia="宋体" w:cs="Times New Roman"/>
                <w:color w:val="auto"/>
                <w:sz w:val="24"/>
                <w:szCs w:val="24"/>
                <w:highlight w:val="none"/>
                <w:lang w:eastAsia="zh-CN"/>
              </w:rPr>
              <w:t>排污登记</w:t>
            </w:r>
            <w:r>
              <w:rPr>
                <w:rFonts w:hint="default" w:ascii="Times New Roman" w:hAnsi="Times New Roman" w:cs="Times New Roman"/>
                <w:color w:val="auto"/>
                <w:sz w:val="24"/>
                <w:szCs w:val="24"/>
                <w:highlight w:val="none"/>
                <w:lang w:val="en-US" w:eastAsia="zh-CN"/>
              </w:rPr>
              <w:t>回执</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6"/>
              </w:numPr>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科福兴新材料科技（江苏）有限公司关于建设地点变化情况的说明；</w:t>
            </w:r>
          </w:p>
          <w:p>
            <w:pPr>
              <w:keepNext w:val="0"/>
              <w:keepLines w:val="0"/>
              <w:pageBreakBefore w:val="0"/>
              <w:widowControl w:val="0"/>
              <w:numPr>
                <w:ilvl w:val="0"/>
                <w:numId w:val="6"/>
              </w:numPr>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排水证办理情况说明</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6"/>
              </w:numPr>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生活垃圾托运协议；</w:t>
            </w:r>
          </w:p>
          <w:p>
            <w:pPr>
              <w:keepNext w:val="0"/>
              <w:keepLines w:val="0"/>
              <w:pageBreakBefore w:val="0"/>
              <w:widowControl w:val="0"/>
              <w:numPr>
                <w:ilvl w:val="0"/>
                <w:numId w:val="6"/>
              </w:numPr>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检测报告（（2022）新锐（综）字第（05851）号））；</w:t>
            </w:r>
          </w:p>
          <w:p>
            <w:pPr>
              <w:keepNext w:val="0"/>
              <w:keepLines w:val="0"/>
              <w:pageBreakBefore w:val="0"/>
              <w:widowControl w:val="0"/>
              <w:numPr>
                <w:ilvl w:val="0"/>
                <w:numId w:val="6"/>
              </w:numPr>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highlight w:val="none"/>
              </w:rPr>
              <w:t>江苏新锐环境监测有限公司检验检测机构资质认定证书</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6"/>
              </w:numPr>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附图：</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textAlignment w:val="auto"/>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附图1  项目地理位置图</w:t>
            </w:r>
            <w:r>
              <w:rPr>
                <w:rFonts w:hint="default" w:ascii="Times New Roman" w:hAnsi="Times New Roman" w:eastAsia="宋体" w:cs="Times New Roman"/>
                <w:snapToGrid w:val="0"/>
                <w:color w:val="auto"/>
                <w:kern w:val="0"/>
                <w:sz w:val="24"/>
                <w:szCs w:val="24"/>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rPr>
              <w:t>附图</w:t>
            </w:r>
            <w:r>
              <w:rPr>
                <w:rFonts w:hint="default" w:ascii="Times New Roman" w:hAnsi="Times New Roman" w:eastAsia="宋体" w:cs="Times New Roman"/>
                <w:snapToGrid w:val="0"/>
                <w:color w:val="auto"/>
                <w:kern w:val="0"/>
                <w:sz w:val="24"/>
                <w:szCs w:val="24"/>
                <w:highlight w:val="none"/>
                <w:lang w:val="en-US" w:eastAsia="zh-CN"/>
              </w:rPr>
              <w:t xml:space="preserve">2  </w:t>
            </w:r>
            <w:r>
              <w:rPr>
                <w:rFonts w:hint="default" w:ascii="Times New Roman" w:hAnsi="Times New Roman" w:eastAsia="宋体" w:cs="Times New Roman"/>
                <w:snapToGrid w:val="0"/>
                <w:color w:val="auto"/>
                <w:kern w:val="0"/>
                <w:sz w:val="24"/>
                <w:szCs w:val="24"/>
                <w:highlight w:val="none"/>
              </w:rPr>
              <w:t>项目平面布置图</w:t>
            </w:r>
            <w:r>
              <w:rPr>
                <w:rFonts w:hint="default" w:ascii="Times New Roman" w:hAnsi="Times New Roman" w:eastAsia="宋体" w:cs="Times New Roman"/>
                <w:snapToGrid w:val="0"/>
                <w:color w:val="auto"/>
                <w:kern w:val="0"/>
                <w:sz w:val="24"/>
                <w:szCs w:val="24"/>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rPr>
              <w:t>附图</w:t>
            </w:r>
            <w:r>
              <w:rPr>
                <w:rFonts w:hint="default" w:ascii="Times New Roman" w:hAnsi="Times New Roman" w:eastAsia="宋体" w:cs="Times New Roman"/>
                <w:snapToGrid w:val="0"/>
                <w:color w:val="auto"/>
                <w:kern w:val="0"/>
                <w:sz w:val="24"/>
                <w:szCs w:val="24"/>
                <w:highlight w:val="none"/>
                <w:lang w:val="en-US" w:eastAsia="zh-CN"/>
              </w:rPr>
              <w:t xml:space="preserve">3 </w:t>
            </w:r>
            <w:r>
              <w:rPr>
                <w:rFonts w:hint="default" w:ascii="Times New Roman" w:hAnsi="Times New Roman" w:eastAsia="宋体" w:cs="Times New Roman"/>
                <w:snapToGrid w:val="0"/>
                <w:color w:val="auto"/>
                <w:kern w:val="0"/>
                <w:sz w:val="24"/>
                <w:szCs w:val="24"/>
                <w:highlight w:val="none"/>
              </w:rPr>
              <w:t xml:space="preserve"> 项目周边环境</w:t>
            </w:r>
            <w:r>
              <w:rPr>
                <w:rFonts w:hint="default" w:ascii="Times New Roman" w:hAnsi="Times New Roman" w:eastAsia="宋体" w:cs="Times New Roman"/>
                <w:snapToGrid w:val="0"/>
                <w:color w:val="auto"/>
                <w:kern w:val="0"/>
                <w:sz w:val="24"/>
                <w:szCs w:val="24"/>
                <w:highlight w:val="none"/>
                <w:lang w:eastAsia="zh-CN"/>
              </w:rPr>
              <w:t>概况</w:t>
            </w:r>
            <w:r>
              <w:rPr>
                <w:rFonts w:hint="default" w:ascii="Times New Roman" w:hAnsi="Times New Roman" w:eastAsia="宋体" w:cs="Times New Roman"/>
                <w:snapToGrid w:val="0"/>
                <w:color w:val="auto"/>
                <w:kern w:val="0"/>
                <w:sz w:val="24"/>
                <w:szCs w:val="24"/>
                <w:highlight w:val="none"/>
              </w:rPr>
              <w:t>图</w:t>
            </w:r>
            <w:r>
              <w:rPr>
                <w:rFonts w:hint="default" w:ascii="Times New Roman" w:hAnsi="Times New Roman" w:eastAsia="宋体" w:cs="Times New Roman"/>
                <w:snapToGrid w:val="0"/>
                <w:color w:val="auto"/>
                <w:kern w:val="0"/>
                <w:sz w:val="24"/>
                <w:szCs w:val="24"/>
                <w:highlight w:val="none"/>
                <w:lang w:eastAsia="zh-CN"/>
              </w:rPr>
              <w:t>。</w:t>
            </w:r>
          </w:p>
          <w:p>
            <w:pPr>
              <w:pStyle w:val="2"/>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tc>
      </w:tr>
    </w:tbl>
    <w:p>
      <w:pPr>
        <w:rPr>
          <w:rFonts w:hint="default" w:ascii="Times New Roman" w:hAnsi="Times New Roman" w:eastAsia="宋体" w:cs="Times New Roman"/>
          <w:sz w:val="24"/>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stem">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Noto Sans CJK JP Regular">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afterLines="0"/>
      <w:ind w:right="360"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afterLines="0"/>
      <w:ind w:right="360"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eastAsia="宋体"/>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eastAsia="宋体"/>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I</w:t>
                          </w:r>
                          <w:r>
                            <w:fldChar w:fldCharType="end"/>
                          </w:r>
                          <w:r>
                            <w:t xml:space="preserve"> 页 共 </w:t>
                          </w:r>
                          <w:r>
                            <w:rPr>
                              <w:rFonts w:hint="eastAsia"/>
                              <w:lang w:val="en-US" w:eastAsia="zh-CN"/>
                            </w:rPr>
                            <w:t>23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I</w:t>
                    </w:r>
                    <w:r>
                      <w:fldChar w:fldCharType="end"/>
                    </w:r>
                    <w:r>
                      <w:t xml:space="preserve"> 页 共 </w:t>
                    </w:r>
                    <w:r>
                      <w:rPr>
                        <w:rFonts w:hint="eastAsia"/>
                        <w:lang w:val="en-US" w:eastAsia="zh-CN"/>
                      </w:rPr>
                      <w:t>23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bCs/>
        <w:spacing w:val="-12"/>
        <w:sz w:val="18"/>
        <w:szCs w:val="18"/>
      </w:rPr>
    </w:pPr>
    <w:r>
      <w:rPr>
        <w:rFonts w:hint="eastAsia" w:cs="Times New Roman"/>
        <w:b w:val="0"/>
        <w:bCs w:val="0"/>
        <w:color w:val="000000"/>
        <w:sz w:val="18"/>
        <w:szCs w:val="18"/>
        <w:lang w:val="en-US" w:eastAsia="zh-CN"/>
      </w:rPr>
      <w:t>科福兴新材料科技（江苏）有限公司年产10万张海绵床垫项目竣工环境保护验收监测报告表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BA8607"/>
    <w:multiLevelType w:val="singleLevel"/>
    <w:tmpl w:val="82BA8607"/>
    <w:lvl w:ilvl="0" w:tentative="0">
      <w:start w:val="1"/>
      <w:numFmt w:val="decimal"/>
      <w:suff w:val="nothing"/>
      <w:lvlText w:val="%1、"/>
      <w:lvlJc w:val="left"/>
    </w:lvl>
  </w:abstractNum>
  <w:abstractNum w:abstractNumId="1">
    <w:nsid w:val="D43EFD42"/>
    <w:multiLevelType w:val="singleLevel"/>
    <w:tmpl w:val="D43EFD42"/>
    <w:lvl w:ilvl="0" w:tentative="0">
      <w:start w:val="2"/>
      <w:numFmt w:val="chineseCounting"/>
      <w:suff w:val="nothing"/>
      <w:lvlText w:val="%1、"/>
      <w:lvlJc w:val="left"/>
      <w:rPr>
        <w:rFonts w:hint="eastAsia"/>
      </w:rPr>
    </w:lvl>
  </w:abstractNum>
  <w:abstractNum w:abstractNumId="2">
    <w:nsid w:val="0C92C209"/>
    <w:multiLevelType w:val="singleLevel"/>
    <w:tmpl w:val="0C92C209"/>
    <w:lvl w:ilvl="0" w:tentative="0">
      <w:start w:val="2"/>
      <w:numFmt w:val="decimal"/>
      <w:suff w:val="nothing"/>
      <w:lvlText w:val="（%1）"/>
      <w:lvlJc w:val="left"/>
    </w:lvl>
  </w:abstractNum>
  <w:abstractNum w:abstractNumId="3">
    <w:nsid w:val="561EF83A"/>
    <w:multiLevelType w:val="singleLevel"/>
    <w:tmpl w:val="561EF83A"/>
    <w:lvl w:ilvl="0" w:tentative="0">
      <w:start w:val="1"/>
      <w:numFmt w:val="decimal"/>
      <w:suff w:val="nothing"/>
      <w:lvlText w:val="%1、"/>
      <w:lvlJc w:val="left"/>
    </w:lvl>
  </w:abstractNum>
  <w:abstractNum w:abstractNumId="4">
    <w:nsid w:val="6EC4CD47"/>
    <w:multiLevelType w:val="singleLevel"/>
    <w:tmpl w:val="6EC4CD47"/>
    <w:lvl w:ilvl="0" w:tentative="0">
      <w:start w:val="1"/>
      <w:numFmt w:val="decimal"/>
      <w:suff w:val="nothing"/>
      <w:lvlText w:val="%1．"/>
      <w:lvlJc w:val="left"/>
      <w:pPr>
        <w:ind w:left="20" w:firstLine="400"/>
      </w:pPr>
      <w:rPr>
        <w:rFonts w:hint="default"/>
      </w:rPr>
    </w:lvl>
  </w:abstractNum>
  <w:abstractNum w:abstractNumId="5">
    <w:nsid w:val="73BD1614"/>
    <w:multiLevelType w:val="singleLevel"/>
    <w:tmpl w:val="73BD1614"/>
    <w:lvl w:ilvl="0" w:tentative="0">
      <w:start w:val="1"/>
      <w:numFmt w:val="decimal"/>
      <w:suff w:val="nothing"/>
      <w:lvlText w:val="%1、"/>
      <w:lvlJc w:val="left"/>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hYjEyYTkxOWJmNTMxMTg5ZTdkNDg0MzczMzhkZWQifQ=="/>
  </w:docVars>
  <w:rsids>
    <w:rsidRoot w:val="00172A27"/>
    <w:rsid w:val="000009F2"/>
    <w:rsid w:val="00002ADA"/>
    <w:rsid w:val="00004772"/>
    <w:rsid w:val="000060CB"/>
    <w:rsid w:val="00007D27"/>
    <w:rsid w:val="000120BC"/>
    <w:rsid w:val="00016590"/>
    <w:rsid w:val="00016B12"/>
    <w:rsid w:val="0002518A"/>
    <w:rsid w:val="00027A43"/>
    <w:rsid w:val="00033D2E"/>
    <w:rsid w:val="00035B29"/>
    <w:rsid w:val="00041709"/>
    <w:rsid w:val="00042A32"/>
    <w:rsid w:val="0004536F"/>
    <w:rsid w:val="000466B8"/>
    <w:rsid w:val="0005704A"/>
    <w:rsid w:val="0006066C"/>
    <w:rsid w:val="00070259"/>
    <w:rsid w:val="00073B6B"/>
    <w:rsid w:val="00074DA0"/>
    <w:rsid w:val="000819DB"/>
    <w:rsid w:val="0008456F"/>
    <w:rsid w:val="00091692"/>
    <w:rsid w:val="00092B3F"/>
    <w:rsid w:val="000A0105"/>
    <w:rsid w:val="000A4805"/>
    <w:rsid w:val="000B003F"/>
    <w:rsid w:val="000B04D6"/>
    <w:rsid w:val="000B44D1"/>
    <w:rsid w:val="000B5289"/>
    <w:rsid w:val="000B6432"/>
    <w:rsid w:val="000D2F27"/>
    <w:rsid w:val="000D66EF"/>
    <w:rsid w:val="000E153F"/>
    <w:rsid w:val="000E248F"/>
    <w:rsid w:val="000E2B9C"/>
    <w:rsid w:val="000E4012"/>
    <w:rsid w:val="000E41A6"/>
    <w:rsid w:val="000E4B5F"/>
    <w:rsid w:val="000E5141"/>
    <w:rsid w:val="00100F42"/>
    <w:rsid w:val="00101156"/>
    <w:rsid w:val="001011B5"/>
    <w:rsid w:val="00102C65"/>
    <w:rsid w:val="00106C82"/>
    <w:rsid w:val="00125098"/>
    <w:rsid w:val="0012576C"/>
    <w:rsid w:val="0012641F"/>
    <w:rsid w:val="00132C18"/>
    <w:rsid w:val="0013519E"/>
    <w:rsid w:val="001351AD"/>
    <w:rsid w:val="00144B59"/>
    <w:rsid w:val="0014698B"/>
    <w:rsid w:val="001472DE"/>
    <w:rsid w:val="0015117F"/>
    <w:rsid w:val="001512CA"/>
    <w:rsid w:val="001532F6"/>
    <w:rsid w:val="001567A8"/>
    <w:rsid w:val="001575EF"/>
    <w:rsid w:val="00162425"/>
    <w:rsid w:val="0017260B"/>
    <w:rsid w:val="00180711"/>
    <w:rsid w:val="00182BBD"/>
    <w:rsid w:val="001839A9"/>
    <w:rsid w:val="00187A98"/>
    <w:rsid w:val="0019115F"/>
    <w:rsid w:val="00192283"/>
    <w:rsid w:val="001B1CF9"/>
    <w:rsid w:val="001B69CA"/>
    <w:rsid w:val="001C09EC"/>
    <w:rsid w:val="001C1CB4"/>
    <w:rsid w:val="001C3DF2"/>
    <w:rsid w:val="001C68F3"/>
    <w:rsid w:val="001C6BA9"/>
    <w:rsid w:val="001D51F9"/>
    <w:rsid w:val="001E431F"/>
    <w:rsid w:val="001E4F8B"/>
    <w:rsid w:val="001F04BD"/>
    <w:rsid w:val="001F1349"/>
    <w:rsid w:val="001F3041"/>
    <w:rsid w:val="001F76C2"/>
    <w:rsid w:val="00200289"/>
    <w:rsid w:val="00207D88"/>
    <w:rsid w:val="0021505B"/>
    <w:rsid w:val="002156BE"/>
    <w:rsid w:val="00220AEC"/>
    <w:rsid w:val="002230D1"/>
    <w:rsid w:val="00223D15"/>
    <w:rsid w:val="00227D92"/>
    <w:rsid w:val="00235426"/>
    <w:rsid w:val="00236452"/>
    <w:rsid w:val="00237717"/>
    <w:rsid w:val="002406E8"/>
    <w:rsid w:val="00241C56"/>
    <w:rsid w:val="00242653"/>
    <w:rsid w:val="002455CF"/>
    <w:rsid w:val="00247181"/>
    <w:rsid w:val="002522F3"/>
    <w:rsid w:val="002544F4"/>
    <w:rsid w:val="002545A6"/>
    <w:rsid w:val="00267CDF"/>
    <w:rsid w:val="0027142E"/>
    <w:rsid w:val="00272175"/>
    <w:rsid w:val="0027612F"/>
    <w:rsid w:val="00277591"/>
    <w:rsid w:val="00277C9F"/>
    <w:rsid w:val="00290063"/>
    <w:rsid w:val="002A10F8"/>
    <w:rsid w:val="002A32FA"/>
    <w:rsid w:val="002A58ED"/>
    <w:rsid w:val="002B2309"/>
    <w:rsid w:val="002B75E6"/>
    <w:rsid w:val="002C0647"/>
    <w:rsid w:val="002C18BF"/>
    <w:rsid w:val="002C286D"/>
    <w:rsid w:val="002C299B"/>
    <w:rsid w:val="002C4600"/>
    <w:rsid w:val="002C4DE1"/>
    <w:rsid w:val="002C522E"/>
    <w:rsid w:val="002C537A"/>
    <w:rsid w:val="002D5647"/>
    <w:rsid w:val="002D70F6"/>
    <w:rsid w:val="002E5759"/>
    <w:rsid w:val="002E743D"/>
    <w:rsid w:val="002F40E9"/>
    <w:rsid w:val="002F47AB"/>
    <w:rsid w:val="00301B75"/>
    <w:rsid w:val="00307D87"/>
    <w:rsid w:val="003113A2"/>
    <w:rsid w:val="00312D1E"/>
    <w:rsid w:val="003177C7"/>
    <w:rsid w:val="00327477"/>
    <w:rsid w:val="00330BCA"/>
    <w:rsid w:val="00331ED3"/>
    <w:rsid w:val="003326E5"/>
    <w:rsid w:val="00334587"/>
    <w:rsid w:val="00334F5D"/>
    <w:rsid w:val="00337170"/>
    <w:rsid w:val="00340882"/>
    <w:rsid w:val="0034170C"/>
    <w:rsid w:val="00343290"/>
    <w:rsid w:val="00347650"/>
    <w:rsid w:val="00354563"/>
    <w:rsid w:val="003606CA"/>
    <w:rsid w:val="00361F94"/>
    <w:rsid w:val="0037128A"/>
    <w:rsid w:val="003717B5"/>
    <w:rsid w:val="00371C04"/>
    <w:rsid w:val="003732BE"/>
    <w:rsid w:val="0037518A"/>
    <w:rsid w:val="0037663E"/>
    <w:rsid w:val="00382209"/>
    <w:rsid w:val="00386DF0"/>
    <w:rsid w:val="00386FEE"/>
    <w:rsid w:val="00387074"/>
    <w:rsid w:val="003935C3"/>
    <w:rsid w:val="00393677"/>
    <w:rsid w:val="003941FF"/>
    <w:rsid w:val="00394CC7"/>
    <w:rsid w:val="003A268B"/>
    <w:rsid w:val="003A7270"/>
    <w:rsid w:val="003B71E7"/>
    <w:rsid w:val="003C2F88"/>
    <w:rsid w:val="003C4D45"/>
    <w:rsid w:val="003C623F"/>
    <w:rsid w:val="003C6402"/>
    <w:rsid w:val="003C7C23"/>
    <w:rsid w:val="003D1C77"/>
    <w:rsid w:val="003D4552"/>
    <w:rsid w:val="003F0E23"/>
    <w:rsid w:val="00405824"/>
    <w:rsid w:val="004106B2"/>
    <w:rsid w:val="00410DC1"/>
    <w:rsid w:val="00411182"/>
    <w:rsid w:val="0041467B"/>
    <w:rsid w:val="00420624"/>
    <w:rsid w:val="0043088D"/>
    <w:rsid w:val="004312E3"/>
    <w:rsid w:val="00434C02"/>
    <w:rsid w:val="00461B7D"/>
    <w:rsid w:val="00464A0A"/>
    <w:rsid w:val="0047263E"/>
    <w:rsid w:val="00473822"/>
    <w:rsid w:val="00477F3D"/>
    <w:rsid w:val="00482214"/>
    <w:rsid w:val="004873D9"/>
    <w:rsid w:val="00493813"/>
    <w:rsid w:val="00494618"/>
    <w:rsid w:val="00497D6D"/>
    <w:rsid w:val="004B3F7B"/>
    <w:rsid w:val="004B6D31"/>
    <w:rsid w:val="004C661D"/>
    <w:rsid w:val="004C77B5"/>
    <w:rsid w:val="004C7E43"/>
    <w:rsid w:val="004F3E51"/>
    <w:rsid w:val="004F6087"/>
    <w:rsid w:val="00512999"/>
    <w:rsid w:val="00515BC1"/>
    <w:rsid w:val="00527063"/>
    <w:rsid w:val="00531800"/>
    <w:rsid w:val="00531EB1"/>
    <w:rsid w:val="00533BEC"/>
    <w:rsid w:val="00540033"/>
    <w:rsid w:val="005429BF"/>
    <w:rsid w:val="00544571"/>
    <w:rsid w:val="005452EA"/>
    <w:rsid w:val="00550B12"/>
    <w:rsid w:val="00553C84"/>
    <w:rsid w:val="0056237C"/>
    <w:rsid w:val="005633E1"/>
    <w:rsid w:val="005761EB"/>
    <w:rsid w:val="005826FD"/>
    <w:rsid w:val="00587EE7"/>
    <w:rsid w:val="00591029"/>
    <w:rsid w:val="005934B1"/>
    <w:rsid w:val="00594C2A"/>
    <w:rsid w:val="00595409"/>
    <w:rsid w:val="00596681"/>
    <w:rsid w:val="005A3A22"/>
    <w:rsid w:val="005A61E4"/>
    <w:rsid w:val="005B0CB6"/>
    <w:rsid w:val="005C1589"/>
    <w:rsid w:val="005C27D3"/>
    <w:rsid w:val="005C67DC"/>
    <w:rsid w:val="005D70B6"/>
    <w:rsid w:val="005E3539"/>
    <w:rsid w:val="005E4F9E"/>
    <w:rsid w:val="005F35AD"/>
    <w:rsid w:val="005F3D34"/>
    <w:rsid w:val="005F435A"/>
    <w:rsid w:val="005F577E"/>
    <w:rsid w:val="00604EAD"/>
    <w:rsid w:val="006117BA"/>
    <w:rsid w:val="00614455"/>
    <w:rsid w:val="00625DB4"/>
    <w:rsid w:val="00631482"/>
    <w:rsid w:val="00632DEE"/>
    <w:rsid w:val="006363F5"/>
    <w:rsid w:val="00636FBB"/>
    <w:rsid w:val="0064297A"/>
    <w:rsid w:val="00647692"/>
    <w:rsid w:val="006500FE"/>
    <w:rsid w:val="0065151B"/>
    <w:rsid w:val="00651D62"/>
    <w:rsid w:val="00654F31"/>
    <w:rsid w:val="00656A32"/>
    <w:rsid w:val="00657C7A"/>
    <w:rsid w:val="00660813"/>
    <w:rsid w:val="006630FB"/>
    <w:rsid w:val="00663218"/>
    <w:rsid w:val="00665399"/>
    <w:rsid w:val="006705FA"/>
    <w:rsid w:val="00672730"/>
    <w:rsid w:val="00672E9A"/>
    <w:rsid w:val="00681D9E"/>
    <w:rsid w:val="00682992"/>
    <w:rsid w:val="00683521"/>
    <w:rsid w:val="00683910"/>
    <w:rsid w:val="00692965"/>
    <w:rsid w:val="00694B7E"/>
    <w:rsid w:val="00697140"/>
    <w:rsid w:val="0069715F"/>
    <w:rsid w:val="006A1864"/>
    <w:rsid w:val="006C2BAE"/>
    <w:rsid w:val="006C2C82"/>
    <w:rsid w:val="006C6E0C"/>
    <w:rsid w:val="006C7008"/>
    <w:rsid w:val="006D12B6"/>
    <w:rsid w:val="006D50C7"/>
    <w:rsid w:val="006D61CA"/>
    <w:rsid w:val="006E0D8D"/>
    <w:rsid w:val="006E0EDB"/>
    <w:rsid w:val="006E23AC"/>
    <w:rsid w:val="006E4718"/>
    <w:rsid w:val="006E475D"/>
    <w:rsid w:val="006E623D"/>
    <w:rsid w:val="006E64B5"/>
    <w:rsid w:val="0070308A"/>
    <w:rsid w:val="0070383B"/>
    <w:rsid w:val="00703A9F"/>
    <w:rsid w:val="00705B46"/>
    <w:rsid w:val="007064C7"/>
    <w:rsid w:val="00707E76"/>
    <w:rsid w:val="00711246"/>
    <w:rsid w:val="007113EB"/>
    <w:rsid w:val="00712179"/>
    <w:rsid w:val="00726CED"/>
    <w:rsid w:val="00727B70"/>
    <w:rsid w:val="00727E77"/>
    <w:rsid w:val="0073422B"/>
    <w:rsid w:val="00744157"/>
    <w:rsid w:val="00747E1D"/>
    <w:rsid w:val="00751A40"/>
    <w:rsid w:val="00751B98"/>
    <w:rsid w:val="007664CB"/>
    <w:rsid w:val="007728D8"/>
    <w:rsid w:val="007731FB"/>
    <w:rsid w:val="00776739"/>
    <w:rsid w:val="00780F92"/>
    <w:rsid w:val="0078374B"/>
    <w:rsid w:val="00792124"/>
    <w:rsid w:val="0079278E"/>
    <w:rsid w:val="00793C8A"/>
    <w:rsid w:val="007952B1"/>
    <w:rsid w:val="007A65CD"/>
    <w:rsid w:val="007A75E4"/>
    <w:rsid w:val="007B0575"/>
    <w:rsid w:val="007B110B"/>
    <w:rsid w:val="007B2EB4"/>
    <w:rsid w:val="007C56F0"/>
    <w:rsid w:val="007D2119"/>
    <w:rsid w:val="007D2C1F"/>
    <w:rsid w:val="007D3BBF"/>
    <w:rsid w:val="007D4C7A"/>
    <w:rsid w:val="007E4BBD"/>
    <w:rsid w:val="007E5A85"/>
    <w:rsid w:val="007E72AB"/>
    <w:rsid w:val="007F1D1F"/>
    <w:rsid w:val="007F6DB2"/>
    <w:rsid w:val="007F79AC"/>
    <w:rsid w:val="00802849"/>
    <w:rsid w:val="00803B02"/>
    <w:rsid w:val="00807505"/>
    <w:rsid w:val="00814337"/>
    <w:rsid w:val="008169F0"/>
    <w:rsid w:val="00816D8A"/>
    <w:rsid w:val="00822363"/>
    <w:rsid w:val="008238B3"/>
    <w:rsid w:val="008266CF"/>
    <w:rsid w:val="00826FAE"/>
    <w:rsid w:val="008271CC"/>
    <w:rsid w:val="008331D0"/>
    <w:rsid w:val="0084473E"/>
    <w:rsid w:val="0084651E"/>
    <w:rsid w:val="00851747"/>
    <w:rsid w:val="008525B3"/>
    <w:rsid w:val="008532E6"/>
    <w:rsid w:val="008534EE"/>
    <w:rsid w:val="008544B0"/>
    <w:rsid w:val="00857F2E"/>
    <w:rsid w:val="00867D9B"/>
    <w:rsid w:val="00871C34"/>
    <w:rsid w:val="0087412C"/>
    <w:rsid w:val="00877EFC"/>
    <w:rsid w:val="008810DC"/>
    <w:rsid w:val="00886D78"/>
    <w:rsid w:val="00887243"/>
    <w:rsid w:val="008967A7"/>
    <w:rsid w:val="008A2664"/>
    <w:rsid w:val="008A4192"/>
    <w:rsid w:val="008C34E2"/>
    <w:rsid w:val="008C38D2"/>
    <w:rsid w:val="008C3FAA"/>
    <w:rsid w:val="008C448A"/>
    <w:rsid w:val="008C5EFA"/>
    <w:rsid w:val="008C7113"/>
    <w:rsid w:val="008C756B"/>
    <w:rsid w:val="008D7035"/>
    <w:rsid w:val="008E1A2B"/>
    <w:rsid w:val="008E2F0F"/>
    <w:rsid w:val="008E6146"/>
    <w:rsid w:val="008E664B"/>
    <w:rsid w:val="008F0D87"/>
    <w:rsid w:val="008F2464"/>
    <w:rsid w:val="008F24BA"/>
    <w:rsid w:val="008F7432"/>
    <w:rsid w:val="009067ED"/>
    <w:rsid w:val="0090710E"/>
    <w:rsid w:val="00911166"/>
    <w:rsid w:val="00917005"/>
    <w:rsid w:val="00920DE0"/>
    <w:rsid w:val="009274FF"/>
    <w:rsid w:val="009420B4"/>
    <w:rsid w:val="00946164"/>
    <w:rsid w:val="009469EB"/>
    <w:rsid w:val="009477D1"/>
    <w:rsid w:val="00955DC1"/>
    <w:rsid w:val="0095600A"/>
    <w:rsid w:val="00956583"/>
    <w:rsid w:val="00957643"/>
    <w:rsid w:val="00957EC0"/>
    <w:rsid w:val="0096021A"/>
    <w:rsid w:val="009608ED"/>
    <w:rsid w:val="00965920"/>
    <w:rsid w:val="00966BCA"/>
    <w:rsid w:val="0097599C"/>
    <w:rsid w:val="009820F0"/>
    <w:rsid w:val="009927C2"/>
    <w:rsid w:val="00993AB8"/>
    <w:rsid w:val="009A1C02"/>
    <w:rsid w:val="009A4F97"/>
    <w:rsid w:val="009B179D"/>
    <w:rsid w:val="009B25A2"/>
    <w:rsid w:val="009C4D5B"/>
    <w:rsid w:val="009C4FB2"/>
    <w:rsid w:val="009D2A26"/>
    <w:rsid w:val="009D2BCE"/>
    <w:rsid w:val="009D31FB"/>
    <w:rsid w:val="009D4DAE"/>
    <w:rsid w:val="009E026E"/>
    <w:rsid w:val="009E2B8E"/>
    <w:rsid w:val="009E3166"/>
    <w:rsid w:val="009E40CC"/>
    <w:rsid w:val="009F195B"/>
    <w:rsid w:val="009F1EC9"/>
    <w:rsid w:val="009F2347"/>
    <w:rsid w:val="00A01D7C"/>
    <w:rsid w:val="00A02A0F"/>
    <w:rsid w:val="00A073A7"/>
    <w:rsid w:val="00A10A94"/>
    <w:rsid w:val="00A112EA"/>
    <w:rsid w:val="00A13AF2"/>
    <w:rsid w:val="00A16AC9"/>
    <w:rsid w:val="00A2380B"/>
    <w:rsid w:val="00A26F9C"/>
    <w:rsid w:val="00A27DD5"/>
    <w:rsid w:val="00A33A33"/>
    <w:rsid w:val="00A36593"/>
    <w:rsid w:val="00A40793"/>
    <w:rsid w:val="00A4439C"/>
    <w:rsid w:val="00A445C5"/>
    <w:rsid w:val="00A47A74"/>
    <w:rsid w:val="00A51F92"/>
    <w:rsid w:val="00A53AB6"/>
    <w:rsid w:val="00A55318"/>
    <w:rsid w:val="00A5553F"/>
    <w:rsid w:val="00A56EFD"/>
    <w:rsid w:val="00A603BE"/>
    <w:rsid w:val="00A60E89"/>
    <w:rsid w:val="00A6454B"/>
    <w:rsid w:val="00A65B44"/>
    <w:rsid w:val="00A65BAE"/>
    <w:rsid w:val="00A76924"/>
    <w:rsid w:val="00A84026"/>
    <w:rsid w:val="00A84866"/>
    <w:rsid w:val="00A84934"/>
    <w:rsid w:val="00A8729F"/>
    <w:rsid w:val="00AA27FB"/>
    <w:rsid w:val="00AA6694"/>
    <w:rsid w:val="00AB0B26"/>
    <w:rsid w:val="00AB15AD"/>
    <w:rsid w:val="00AB26C1"/>
    <w:rsid w:val="00AB4799"/>
    <w:rsid w:val="00AB64DD"/>
    <w:rsid w:val="00AC32D1"/>
    <w:rsid w:val="00AC592F"/>
    <w:rsid w:val="00AD23A9"/>
    <w:rsid w:val="00AD71BB"/>
    <w:rsid w:val="00AE6CD2"/>
    <w:rsid w:val="00AF39E7"/>
    <w:rsid w:val="00AF44CB"/>
    <w:rsid w:val="00B0289D"/>
    <w:rsid w:val="00B06CB7"/>
    <w:rsid w:val="00B07FBD"/>
    <w:rsid w:val="00B12F7A"/>
    <w:rsid w:val="00B14666"/>
    <w:rsid w:val="00B148F9"/>
    <w:rsid w:val="00B206A8"/>
    <w:rsid w:val="00B27E34"/>
    <w:rsid w:val="00B3114C"/>
    <w:rsid w:val="00B317F2"/>
    <w:rsid w:val="00B32803"/>
    <w:rsid w:val="00B33DB2"/>
    <w:rsid w:val="00B34B81"/>
    <w:rsid w:val="00B36009"/>
    <w:rsid w:val="00B41531"/>
    <w:rsid w:val="00B52EC7"/>
    <w:rsid w:val="00B53C97"/>
    <w:rsid w:val="00B56A47"/>
    <w:rsid w:val="00B56E19"/>
    <w:rsid w:val="00B643C8"/>
    <w:rsid w:val="00B65816"/>
    <w:rsid w:val="00B66A98"/>
    <w:rsid w:val="00B6710A"/>
    <w:rsid w:val="00B8126C"/>
    <w:rsid w:val="00B830A2"/>
    <w:rsid w:val="00BA2F6B"/>
    <w:rsid w:val="00BE051B"/>
    <w:rsid w:val="00BE13DA"/>
    <w:rsid w:val="00BF0186"/>
    <w:rsid w:val="00BF43CD"/>
    <w:rsid w:val="00BF6098"/>
    <w:rsid w:val="00BF76BB"/>
    <w:rsid w:val="00C002AB"/>
    <w:rsid w:val="00C004E9"/>
    <w:rsid w:val="00C00946"/>
    <w:rsid w:val="00C02EBE"/>
    <w:rsid w:val="00C20477"/>
    <w:rsid w:val="00C20F91"/>
    <w:rsid w:val="00C24243"/>
    <w:rsid w:val="00C25C7D"/>
    <w:rsid w:val="00C30B41"/>
    <w:rsid w:val="00C321C5"/>
    <w:rsid w:val="00C32E58"/>
    <w:rsid w:val="00C33767"/>
    <w:rsid w:val="00C359DE"/>
    <w:rsid w:val="00C41452"/>
    <w:rsid w:val="00C4467E"/>
    <w:rsid w:val="00C46AF2"/>
    <w:rsid w:val="00C47161"/>
    <w:rsid w:val="00C52D88"/>
    <w:rsid w:val="00C548C1"/>
    <w:rsid w:val="00C6171E"/>
    <w:rsid w:val="00C64656"/>
    <w:rsid w:val="00C64E48"/>
    <w:rsid w:val="00C65B33"/>
    <w:rsid w:val="00C74931"/>
    <w:rsid w:val="00C7675D"/>
    <w:rsid w:val="00C824B1"/>
    <w:rsid w:val="00C82BB9"/>
    <w:rsid w:val="00C82EBE"/>
    <w:rsid w:val="00C87596"/>
    <w:rsid w:val="00C96F30"/>
    <w:rsid w:val="00CA0FFA"/>
    <w:rsid w:val="00CB0254"/>
    <w:rsid w:val="00CB3D6A"/>
    <w:rsid w:val="00CB3E5E"/>
    <w:rsid w:val="00CC1A44"/>
    <w:rsid w:val="00CC724B"/>
    <w:rsid w:val="00CD1EB7"/>
    <w:rsid w:val="00CD3649"/>
    <w:rsid w:val="00CD5CB3"/>
    <w:rsid w:val="00CD605E"/>
    <w:rsid w:val="00CD7213"/>
    <w:rsid w:val="00CE33F1"/>
    <w:rsid w:val="00CE432A"/>
    <w:rsid w:val="00CF0B53"/>
    <w:rsid w:val="00CF191C"/>
    <w:rsid w:val="00CF4440"/>
    <w:rsid w:val="00CF5FA5"/>
    <w:rsid w:val="00CF7235"/>
    <w:rsid w:val="00D005B5"/>
    <w:rsid w:val="00D01506"/>
    <w:rsid w:val="00D03638"/>
    <w:rsid w:val="00D03CCD"/>
    <w:rsid w:val="00D13C9D"/>
    <w:rsid w:val="00D25DF7"/>
    <w:rsid w:val="00D26EA8"/>
    <w:rsid w:val="00D314BB"/>
    <w:rsid w:val="00D3339F"/>
    <w:rsid w:val="00D34030"/>
    <w:rsid w:val="00D36F49"/>
    <w:rsid w:val="00D40DD0"/>
    <w:rsid w:val="00D41DCD"/>
    <w:rsid w:val="00D42205"/>
    <w:rsid w:val="00D43138"/>
    <w:rsid w:val="00D44043"/>
    <w:rsid w:val="00D46CE3"/>
    <w:rsid w:val="00D50529"/>
    <w:rsid w:val="00D527BB"/>
    <w:rsid w:val="00D54BC0"/>
    <w:rsid w:val="00D609CA"/>
    <w:rsid w:val="00D637DB"/>
    <w:rsid w:val="00D64E59"/>
    <w:rsid w:val="00D72C1D"/>
    <w:rsid w:val="00D732C5"/>
    <w:rsid w:val="00D7715B"/>
    <w:rsid w:val="00D81834"/>
    <w:rsid w:val="00D827A2"/>
    <w:rsid w:val="00D843C1"/>
    <w:rsid w:val="00D85C29"/>
    <w:rsid w:val="00D94587"/>
    <w:rsid w:val="00DA1D17"/>
    <w:rsid w:val="00DA5C0C"/>
    <w:rsid w:val="00DB6D23"/>
    <w:rsid w:val="00DC12EF"/>
    <w:rsid w:val="00DC1930"/>
    <w:rsid w:val="00DC43E2"/>
    <w:rsid w:val="00DC5901"/>
    <w:rsid w:val="00DC7312"/>
    <w:rsid w:val="00DC74A9"/>
    <w:rsid w:val="00DD0BF6"/>
    <w:rsid w:val="00DD48A8"/>
    <w:rsid w:val="00DD6CF2"/>
    <w:rsid w:val="00DE0E41"/>
    <w:rsid w:val="00DE2786"/>
    <w:rsid w:val="00DE36D1"/>
    <w:rsid w:val="00DE3C82"/>
    <w:rsid w:val="00DE486C"/>
    <w:rsid w:val="00DE59D1"/>
    <w:rsid w:val="00DE761F"/>
    <w:rsid w:val="00DF15E6"/>
    <w:rsid w:val="00DF4B08"/>
    <w:rsid w:val="00DF7AD8"/>
    <w:rsid w:val="00E01CA0"/>
    <w:rsid w:val="00E03DBF"/>
    <w:rsid w:val="00E068C9"/>
    <w:rsid w:val="00E069D1"/>
    <w:rsid w:val="00E10DF4"/>
    <w:rsid w:val="00E12CEF"/>
    <w:rsid w:val="00E14BFB"/>
    <w:rsid w:val="00E14F3C"/>
    <w:rsid w:val="00E152D3"/>
    <w:rsid w:val="00E17AF4"/>
    <w:rsid w:val="00E230E6"/>
    <w:rsid w:val="00E248DD"/>
    <w:rsid w:val="00E24C0C"/>
    <w:rsid w:val="00E31A4A"/>
    <w:rsid w:val="00E365F6"/>
    <w:rsid w:val="00E371FE"/>
    <w:rsid w:val="00E37A8D"/>
    <w:rsid w:val="00E41F5A"/>
    <w:rsid w:val="00E50415"/>
    <w:rsid w:val="00E5068D"/>
    <w:rsid w:val="00E51784"/>
    <w:rsid w:val="00E52FBF"/>
    <w:rsid w:val="00E5359F"/>
    <w:rsid w:val="00E561FB"/>
    <w:rsid w:val="00E568C7"/>
    <w:rsid w:val="00E615A9"/>
    <w:rsid w:val="00E6242A"/>
    <w:rsid w:val="00E63762"/>
    <w:rsid w:val="00E64E9D"/>
    <w:rsid w:val="00E6562D"/>
    <w:rsid w:val="00E6575E"/>
    <w:rsid w:val="00E70EC1"/>
    <w:rsid w:val="00E71C3D"/>
    <w:rsid w:val="00E727D7"/>
    <w:rsid w:val="00E72A50"/>
    <w:rsid w:val="00E73025"/>
    <w:rsid w:val="00E75200"/>
    <w:rsid w:val="00E75A45"/>
    <w:rsid w:val="00E808D4"/>
    <w:rsid w:val="00E80C0D"/>
    <w:rsid w:val="00E83FBF"/>
    <w:rsid w:val="00E84891"/>
    <w:rsid w:val="00E8674F"/>
    <w:rsid w:val="00E906FF"/>
    <w:rsid w:val="00E93B20"/>
    <w:rsid w:val="00E96AA9"/>
    <w:rsid w:val="00E97BD3"/>
    <w:rsid w:val="00E97DE2"/>
    <w:rsid w:val="00EA1B54"/>
    <w:rsid w:val="00EA53A7"/>
    <w:rsid w:val="00EA7E10"/>
    <w:rsid w:val="00EB03B2"/>
    <w:rsid w:val="00EB16B0"/>
    <w:rsid w:val="00EB18C6"/>
    <w:rsid w:val="00EB677B"/>
    <w:rsid w:val="00EC2BA2"/>
    <w:rsid w:val="00EC6ED2"/>
    <w:rsid w:val="00ED0F7F"/>
    <w:rsid w:val="00EE26B6"/>
    <w:rsid w:val="00EE2BF7"/>
    <w:rsid w:val="00EE625B"/>
    <w:rsid w:val="00EF0C7F"/>
    <w:rsid w:val="00EF2143"/>
    <w:rsid w:val="00EF2C13"/>
    <w:rsid w:val="00EF5434"/>
    <w:rsid w:val="00EF58AD"/>
    <w:rsid w:val="00EF5D31"/>
    <w:rsid w:val="00EF6109"/>
    <w:rsid w:val="00EF620F"/>
    <w:rsid w:val="00F04907"/>
    <w:rsid w:val="00F0691E"/>
    <w:rsid w:val="00F06F3B"/>
    <w:rsid w:val="00F07234"/>
    <w:rsid w:val="00F07F36"/>
    <w:rsid w:val="00F11541"/>
    <w:rsid w:val="00F12B52"/>
    <w:rsid w:val="00F200A1"/>
    <w:rsid w:val="00F334FA"/>
    <w:rsid w:val="00F33976"/>
    <w:rsid w:val="00F354A3"/>
    <w:rsid w:val="00F40D28"/>
    <w:rsid w:val="00F4662E"/>
    <w:rsid w:val="00F47BC5"/>
    <w:rsid w:val="00F5203E"/>
    <w:rsid w:val="00F53458"/>
    <w:rsid w:val="00F545D6"/>
    <w:rsid w:val="00F54FF2"/>
    <w:rsid w:val="00F55F42"/>
    <w:rsid w:val="00F622C5"/>
    <w:rsid w:val="00F65D1D"/>
    <w:rsid w:val="00F66078"/>
    <w:rsid w:val="00F67549"/>
    <w:rsid w:val="00F72C70"/>
    <w:rsid w:val="00F7491D"/>
    <w:rsid w:val="00F75E2A"/>
    <w:rsid w:val="00F9022F"/>
    <w:rsid w:val="00F930F8"/>
    <w:rsid w:val="00F935B2"/>
    <w:rsid w:val="00F941F0"/>
    <w:rsid w:val="00F95709"/>
    <w:rsid w:val="00F9731D"/>
    <w:rsid w:val="00FA333D"/>
    <w:rsid w:val="00FA3C3E"/>
    <w:rsid w:val="00FA4769"/>
    <w:rsid w:val="00FB31EB"/>
    <w:rsid w:val="00FB4768"/>
    <w:rsid w:val="00FC2CFA"/>
    <w:rsid w:val="00FC4EEF"/>
    <w:rsid w:val="00FD0DCC"/>
    <w:rsid w:val="00FD103F"/>
    <w:rsid w:val="00FE3F14"/>
    <w:rsid w:val="00FE69A8"/>
    <w:rsid w:val="00FE76F2"/>
    <w:rsid w:val="00FE7729"/>
    <w:rsid w:val="00FF5674"/>
    <w:rsid w:val="00FF6429"/>
    <w:rsid w:val="00FF7681"/>
    <w:rsid w:val="01057D8D"/>
    <w:rsid w:val="012B2085"/>
    <w:rsid w:val="01330B1B"/>
    <w:rsid w:val="01400860"/>
    <w:rsid w:val="014D4BCA"/>
    <w:rsid w:val="014F4080"/>
    <w:rsid w:val="017B5F00"/>
    <w:rsid w:val="018D4874"/>
    <w:rsid w:val="019E3E25"/>
    <w:rsid w:val="01A76111"/>
    <w:rsid w:val="01A84AF1"/>
    <w:rsid w:val="01D77E69"/>
    <w:rsid w:val="01DC202B"/>
    <w:rsid w:val="01E64460"/>
    <w:rsid w:val="020412EB"/>
    <w:rsid w:val="02185E60"/>
    <w:rsid w:val="024D77C1"/>
    <w:rsid w:val="02532AED"/>
    <w:rsid w:val="029B4A43"/>
    <w:rsid w:val="029D0A0F"/>
    <w:rsid w:val="02AE0241"/>
    <w:rsid w:val="02DF3D4A"/>
    <w:rsid w:val="02F94EAE"/>
    <w:rsid w:val="02FF4D18"/>
    <w:rsid w:val="03226D0C"/>
    <w:rsid w:val="032818B0"/>
    <w:rsid w:val="03325139"/>
    <w:rsid w:val="03451811"/>
    <w:rsid w:val="035601D8"/>
    <w:rsid w:val="0385634A"/>
    <w:rsid w:val="03D546C2"/>
    <w:rsid w:val="03D6740D"/>
    <w:rsid w:val="03DB1D5B"/>
    <w:rsid w:val="03E37E33"/>
    <w:rsid w:val="03FE06EE"/>
    <w:rsid w:val="04024E84"/>
    <w:rsid w:val="041308CB"/>
    <w:rsid w:val="041A4C20"/>
    <w:rsid w:val="04242335"/>
    <w:rsid w:val="04282AB8"/>
    <w:rsid w:val="04436C72"/>
    <w:rsid w:val="047448D4"/>
    <w:rsid w:val="0485013B"/>
    <w:rsid w:val="04892F3D"/>
    <w:rsid w:val="048B360D"/>
    <w:rsid w:val="04DA3229"/>
    <w:rsid w:val="04FF2262"/>
    <w:rsid w:val="05061071"/>
    <w:rsid w:val="05161E17"/>
    <w:rsid w:val="052775ED"/>
    <w:rsid w:val="05304CDF"/>
    <w:rsid w:val="054F050D"/>
    <w:rsid w:val="056F1196"/>
    <w:rsid w:val="057A55AB"/>
    <w:rsid w:val="057C5022"/>
    <w:rsid w:val="057C59F9"/>
    <w:rsid w:val="057D3D39"/>
    <w:rsid w:val="058B1C0C"/>
    <w:rsid w:val="05933642"/>
    <w:rsid w:val="05C44B9C"/>
    <w:rsid w:val="05EE1FF8"/>
    <w:rsid w:val="05F229DD"/>
    <w:rsid w:val="060302DD"/>
    <w:rsid w:val="060A6569"/>
    <w:rsid w:val="06327776"/>
    <w:rsid w:val="06337DE3"/>
    <w:rsid w:val="064646AF"/>
    <w:rsid w:val="06474EFA"/>
    <w:rsid w:val="06503038"/>
    <w:rsid w:val="065564A8"/>
    <w:rsid w:val="0670222F"/>
    <w:rsid w:val="06766820"/>
    <w:rsid w:val="068D63F4"/>
    <w:rsid w:val="06BA057C"/>
    <w:rsid w:val="06CC248D"/>
    <w:rsid w:val="06D3561E"/>
    <w:rsid w:val="06D46BEF"/>
    <w:rsid w:val="06DA20F8"/>
    <w:rsid w:val="06E248A0"/>
    <w:rsid w:val="06E86A46"/>
    <w:rsid w:val="06F02C65"/>
    <w:rsid w:val="070B2CB4"/>
    <w:rsid w:val="071443D5"/>
    <w:rsid w:val="071E56BD"/>
    <w:rsid w:val="072544F5"/>
    <w:rsid w:val="074570C0"/>
    <w:rsid w:val="074D3527"/>
    <w:rsid w:val="07565E5E"/>
    <w:rsid w:val="075668ED"/>
    <w:rsid w:val="075A71A7"/>
    <w:rsid w:val="078963B8"/>
    <w:rsid w:val="079A4B52"/>
    <w:rsid w:val="07BB5A34"/>
    <w:rsid w:val="07BE557C"/>
    <w:rsid w:val="07DA5BF8"/>
    <w:rsid w:val="07E63D2A"/>
    <w:rsid w:val="07F152F8"/>
    <w:rsid w:val="0806526F"/>
    <w:rsid w:val="080D0BC6"/>
    <w:rsid w:val="08241BF7"/>
    <w:rsid w:val="0827149C"/>
    <w:rsid w:val="0879101B"/>
    <w:rsid w:val="08856174"/>
    <w:rsid w:val="0893037D"/>
    <w:rsid w:val="08AE59AD"/>
    <w:rsid w:val="08AF0D53"/>
    <w:rsid w:val="08B100F8"/>
    <w:rsid w:val="090A37C1"/>
    <w:rsid w:val="09106C6E"/>
    <w:rsid w:val="09183D7C"/>
    <w:rsid w:val="092D78E8"/>
    <w:rsid w:val="095151EB"/>
    <w:rsid w:val="0952186B"/>
    <w:rsid w:val="096B7D71"/>
    <w:rsid w:val="097053A7"/>
    <w:rsid w:val="09847CC3"/>
    <w:rsid w:val="09865609"/>
    <w:rsid w:val="09B9293F"/>
    <w:rsid w:val="09B931A2"/>
    <w:rsid w:val="09E0302B"/>
    <w:rsid w:val="09EC1033"/>
    <w:rsid w:val="0A032673"/>
    <w:rsid w:val="0A152BE7"/>
    <w:rsid w:val="0A2A3A99"/>
    <w:rsid w:val="0A343E3A"/>
    <w:rsid w:val="0A3934F4"/>
    <w:rsid w:val="0A47559B"/>
    <w:rsid w:val="0A574DF1"/>
    <w:rsid w:val="0AAD1C87"/>
    <w:rsid w:val="0AD52F3D"/>
    <w:rsid w:val="0AD97C88"/>
    <w:rsid w:val="0ADB1C05"/>
    <w:rsid w:val="0AFB58E0"/>
    <w:rsid w:val="0B1C4144"/>
    <w:rsid w:val="0B320FC4"/>
    <w:rsid w:val="0B3C7FE2"/>
    <w:rsid w:val="0B412FF4"/>
    <w:rsid w:val="0B5210B5"/>
    <w:rsid w:val="0B59403F"/>
    <w:rsid w:val="0B604F34"/>
    <w:rsid w:val="0B736437"/>
    <w:rsid w:val="0B967080"/>
    <w:rsid w:val="0BC03E44"/>
    <w:rsid w:val="0BC74DF0"/>
    <w:rsid w:val="0BCF065D"/>
    <w:rsid w:val="0BF70FD4"/>
    <w:rsid w:val="0BFE77EB"/>
    <w:rsid w:val="0C0D5662"/>
    <w:rsid w:val="0C312A1C"/>
    <w:rsid w:val="0C4B3709"/>
    <w:rsid w:val="0D1C127A"/>
    <w:rsid w:val="0D20553E"/>
    <w:rsid w:val="0D21580C"/>
    <w:rsid w:val="0D247ECD"/>
    <w:rsid w:val="0D2A3ABE"/>
    <w:rsid w:val="0D346092"/>
    <w:rsid w:val="0D634A4F"/>
    <w:rsid w:val="0D6D2F1C"/>
    <w:rsid w:val="0D741126"/>
    <w:rsid w:val="0D7C3E79"/>
    <w:rsid w:val="0D7C4A7F"/>
    <w:rsid w:val="0D840EC8"/>
    <w:rsid w:val="0D8435E8"/>
    <w:rsid w:val="0D8D18D3"/>
    <w:rsid w:val="0D8D72FE"/>
    <w:rsid w:val="0D9C4464"/>
    <w:rsid w:val="0DA8788A"/>
    <w:rsid w:val="0DAD613B"/>
    <w:rsid w:val="0DAE6AF3"/>
    <w:rsid w:val="0DBC0344"/>
    <w:rsid w:val="0DD35F18"/>
    <w:rsid w:val="0DE36F2A"/>
    <w:rsid w:val="0DE94788"/>
    <w:rsid w:val="0E176739"/>
    <w:rsid w:val="0E1A1331"/>
    <w:rsid w:val="0E2574CB"/>
    <w:rsid w:val="0E304384"/>
    <w:rsid w:val="0E340942"/>
    <w:rsid w:val="0E427D17"/>
    <w:rsid w:val="0E6D5C70"/>
    <w:rsid w:val="0E7D60E0"/>
    <w:rsid w:val="0E872AC3"/>
    <w:rsid w:val="0E8D64CC"/>
    <w:rsid w:val="0E945319"/>
    <w:rsid w:val="0EA25A69"/>
    <w:rsid w:val="0EA47DFC"/>
    <w:rsid w:val="0EBB30D3"/>
    <w:rsid w:val="0ED41371"/>
    <w:rsid w:val="0EFE5982"/>
    <w:rsid w:val="0F046E28"/>
    <w:rsid w:val="0F0547E3"/>
    <w:rsid w:val="0F2308BC"/>
    <w:rsid w:val="0F3202B1"/>
    <w:rsid w:val="0F3D3882"/>
    <w:rsid w:val="0F41644D"/>
    <w:rsid w:val="0F530AFD"/>
    <w:rsid w:val="0F6D4611"/>
    <w:rsid w:val="0FA5626C"/>
    <w:rsid w:val="0FB15BB0"/>
    <w:rsid w:val="0FEA7ACA"/>
    <w:rsid w:val="0FF40CD3"/>
    <w:rsid w:val="102B5305"/>
    <w:rsid w:val="1030763E"/>
    <w:rsid w:val="10477692"/>
    <w:rsid w:val="10480E2B"/>
    <w:rsid w:val="105937CE"/>
    <w:rsid w:val="1095366A"/>
    <w:rsid w:val="10D72996"/>
    <w:rsid w:val="10FB7C4C"/>
    <w:rsid w:val="11086946"/>
    <w:rsid w:val="110A6055"/>
    <w:rsid w:val="111F7376"/>
    <w:rsid w:val="11261517"/>
    <w:rsid w:val="1128484D"/>
    <w:rsid w:val="11423E44"/>
    <w:rsid w:val="114C019A"/>
    <w:rsid w:val="11534D4D"/>
    <w:rsid w:val="1153597C"/>
    <w:rsid w:val="115A41E1"/>
    <w:rsid w:val="116B751F"/>
    <w:rsid w:val="11766E19"/>
    <w:rsid w:val="117970E4"/>
    <w:rsid w:val="11842744"/>
    <w:rsid w:val="11933BF8"/>
    <w:rsid w:val="11AD2913"/>
    <w:rsid w:val="11D03944"/>
    <w:rsid w:val="11D2358B"/>
    <w:rsid w:val="11D477CD"/>
    <w:rsid w:val="11E608BE"/>
    <w:rsid w:val="12125A08"/>
    <w:rsid w:val="123533BF"/>
    <w:rsid w:val="1237253F"/>
    <w:rsid w:val="1252396D"/>
    <w:rsid w:val="12651B2B"/>
    <w:rsid w:val="127418C4"/>
    <w:rsid w:val="12817255"/>
    <w:rsid w:val="12827DCE"/>
    <w:rsid w:val="129E5EE7"/>
    <w:rsid w:val="12AB0AA8"/>
    <w:rsid w:val="12C30882"/>
    <w:rsid w:val="12C9490E"/>
    <w:rsid w:val="12D5055C"/>
    <w:rsid w:val="12E429D7"/>
    <w:rsid w:val="13075DB4"/>
    <w:rsid w:val="13111E40"/>
    <w:rsid w:val="13191C4B"/>
    <w:rsid w:val="13446620"/>
    <w:rsid w:val="134D767C"/>
    <w:rsid w:val="135D266A"/>
    <w:rsid w:val="13766D83"/>
    <w:rsid w:val="13825F72"/>
    <w:rsid w:val="138E68B4"/>
    <w:rsid w:val="13BC6757"/>
    <w:rsid w:val="13C10C86"/>
    <w:rsid w:val="13D6674E"/>
    <w:rsid w:val="13D749A0"/>
    <w:rsid w:val="13EC5356"/>
    <w:rsid w:val="13F77EF1"/>
    <w:rsid w:val="13FD4F21"/>
    <w:rsid w:val="14060FE6"/>
    <w:rsid w:val="14382BCA"/>
    <w:rsid w:val="1438699C"/>
    <w:rsid w:val="143C5E43"/>
    <w:rsid w:val="14574DA0"/>
    <w:rsid w:val="14601EBD"/>
    <w:rsid w:val="146E67C1"/>
    <w:rsid w:val="1474550D"/>
    <w:rsid w:val="14793E58"/>
    <w:rsid w:val="147F0F0B"/>
    <w:rsid w:val="1490386D"/>
    <w:rsid w:val="14BE533D"/>
    <w:rsid w:val="14C112C7"/>
    <w:rsid w:val="14C33366"/>
    <w:rsid w:val="14C80047"/>
    <w:rsid w:val="14CB5907"/>
    <w:rsid w:val="14D36EA9"/>
    <w:rsid w:val="14DC7E8A"/>
    <w:rsid w:val="15037027"/>
    <w:rsid w:val="150426AD"/>
    <w:rsid w:val="15106AD8"/>
    <w:rsid w:val="151114B4"/>
    <w:rsid w:val="15263C2B"/>
    <w:rsid w:val="1537072A"/>
    <w:rsid w:val="15440F01"/>
    <w:rsid w:val="15587360"/>
    <w:rsid w:val="155A12FB"/>
    <w:rsid w:val="1569410C"/>
    <w:rsid w:val="158C5C66"/>
    <w:rsid w:val="15AD07E1"/>
    <w:rsid w:val="15C25C6E"/>
    <w:rsid w:val="15DB2D19"/>
    <w:rsid w:val="16193BED"/>
    <w:rsid w:val="16271CF5"/>
    <w:rsid w:val="16277A77"/>
    <w:rsid w:val="162A6AD2"/>
    <w:rsid w:val="163C4F94"/>
    <w:rsid w:val="16461DDB"/>
    <w:rsid w:val="16561AE0"/>
    <w:rsid w:val="165A2BC1"/>
    <w:rsid w:val="168E2D77"/>
    <w:rsid w:val="169F6A4D"/>
    <w:rsid w:val="16A140A8"/>
    <w:rsid w:val="16A573C7"/>
    <w:rsid w:val="17104B27"/>
    <w:rsid w:val="17450066"/>
    <w:rsid w:val="1747010F"/>
    <w:rsid w:val="174B0F64"/>
    <w:rsid w:val="175D32FC"/>
    <w:rsid w:val="179339D6"/>
    <w:rsid w:val="179901BE"/>
    <w:rsid w:val="17B649BA"/>
    <w:rsid w:val="17B96D0E"/>
    <w:rsid w:val="17BC774D"/>
    <w:rsid w:val="17BE08E3"/>
    <w:rsid w:val="17BF471B"/>
    <w:rsid w:val="17DC726D"/>
    <w:rsid w:val="17E55849"/>
    <w:rsid w:val="17EF1679"/>
    <w:rsid w:val="183230DF"/>
    <w:rsid w:val="183749A2"/>
    <w:rsid w:val="183A620D"/>
    <w:rsid w:val="184620F4"/>
    <w:rsid w:val="18615571"/>
    <w:rsid w:val="18683501"/>
    <w:rsid w:val="18B95291"/>
    <w:rsid w:val="18BB3E06"/>
    <w:rsid w:val="18D23310"/>
    <w:rsid w:val="18D4229D"/>
    <w:rsid w:val="18DD1312"/>
    <w:rsid w:val="18DE5F6F"/>
    <w:rsid w:val="18E75ED3"/>
    <w:rsid w:val="19016ED7"/>
    <w:rsid w:val="19084CED"/>
    <w:rsid w:val="19102702"/>
    <w:rsid w:val="19282862"/>
    <w:rsid w:val="19615221"/>
    <w:rsid w:val="198E7809"/>
    <w:rsid w:val="19A97943"/>
    <w:rsid w:val="19B0143F"/>
    <w:rsid w:val="19B8439D"/>
    <w:rsid w:val="19EB65F6"/>
    <w:rsid w:val="1A0F28B9"/>
    <w:rsid w:val="1A2E53CD"/>
    <w:rsid w:val="1A3F396E"/>
    <w:rsid w:val="1A45648B"/>
    <w:rsid w:val="1A4C6C29"/>
    <w:rsid w:val="1A502E93"/>
    <w:rsid w:val="1A570D2F"/>
    <w:rsid w:val="1A584361"/>
    <w:rsid w:val="1A5F1B1E"/>
    <w:rsid w:val="1A6036E8"/>
    <w:rsid w:val="1A775074"/>
    <w:rsid w:val="1A9D4A45"/>
    <w:rsid w:val="1AB772D9"/>
    <w:rsid w:val="1ABA39F4"/>
    <w:rsid w:val="1AC25066"/>
    <w:rsid w:val="1AF114D7"/>
    <w:rsid w:val="1B105619"/>
    <w:rsid w:val="1B1E7D0B"/>
    <w:rsid w:val="1B316F4E"/>
    <w:rsid w:val="1B4548E5"/>
    <w:rsid w:val="1B577E45"/>
    <w:rsid w:val="1B58313F"/>
    <w:rsid w:val="1B5D2E14"/>
    <w:rsid w:val="1B6B4039"/>
    <w:rsid w:val="1B77437E"/>
    <w:rsid w:val="1B8A2CE6"/>
    <w:rsid w:val="1BA62D4A"/>
    <w:rsid w:val="1BA67B75"/>
    <w:rsid w:val="1BB348F7"/>
    <w:rsid w:val="1BCB66F4"/>
    <w:rsid w:val="1BD0336C"/>
    <w:rsid w:val="1BEB46A4"/>
    <w:rsid w:val="1BEC747A"/>
    <w:rsid w:val="1BEF4044"/>
    <w:rsid w:val="1BF34341"/>
    <w:rsid w:val="1C0201A1"/>
    <w:rsid w:val="1C3E419C"/>
    <w:rsid w:val="1C46772B"/>
    <w:rsid w:val="1C491DCF"/>
    <w:rsid w:val="1C616E1D"/>
    <w:rsid w:val="1C9111F5"/>
    <w:rsid w:val="1CAD35DA"/>
    <w:rsid w:val="1CBB7816"/>
    <w:rsid w:val="1CC77F39"/>
    <w:rsid w:val="1CD75F7C"/>
    <w:rsid w:val="1CE56BBC"/>
    <w:rsid w:val="1CFA3B95"/>
    <w:rsid w:val="1D09665E"/>
    <w:rsid w:val="1D117D05"/>
    <w:rsid w:val="1D19102A"/>
    <w:rsid w:val="1D3F3526"/>
    <w:rsid w:val="1D612CEA"/>
    <w:rsid w:val="1D67021A"/>
    <w:rsid w:val="1D7867F9"/>
    <w:rsid w:val="1DA241C9"/>
    <w:rsid w:val="1DDF7CEB"/>
    <w:rsid w:val="1E3B6F5D"/>
    <w:rsid w:val="1E3E6C9C"/>
    <w:rsid w:val="1E694906"/>
    <w:rsid w:val="1E770A63"/>
    <w:rsid w:val="1E9219F2"/>
    <w:rsid w:val="1E9A07AF"/>
    <w:rsid w:val="1E9A1A93"/>
    <w:rsid w:val="1EDA5EF6"/>
    <w:rsid w:val="1EFF6208"/>
    <w:rsid w:val="1F031CF9"/>
    <w:rsid w:val="1F4626AE"/>
    <w:rsid w:val="1F6A5DBD"/>
    <w:rsid w:val="1F7357A7"/>
    <w:rsid w:val="1F742741"/>
    <w:rsid w:val="1F80781B"/>
    <w:rsid w:val="1F813A12"/>
    <w:rsid w:val="1F836DAC"/>
    <w:rsid w:val="1FAF2860"/>
    <w:rsid w:val="1FC73495"/>
    <w:rsid w:val="1FC8676C"/>
    <w:rsid w:val="1FD90E09"/>
    <w:rsid w:val="1FDE70B6"/>
    <w:rsid w:val="1FE51866"/>
    <w:rsid w:val="1FED1B12"/>
    <w:rsid w:val="1FFD66DC"/>
    <w:rsid w:val="1FFF5259"/>
    <w:rsid w:val="202D71B0"/>
    <w:rsid w:val="204E4208"/>
    <w:rsid w:val="205C37F2"/>
    <w:rsid w:val="20AE0325"/>
    <w:rsid w:val="20B43788"/>
    <w:rsid w:val="20B56C6F"/>
    <w:rsid w:val="20C466B6"/>
    <w:rsid w:val="20E5350D"/>
    <w:rsid w:val="211E6092"/>
    <w:rsid w:val="212A14EE"/>
    <w:rsid w:val="212A1E87"/>
    <w:rsid w:val="215E7C5B"/>
    <w:rsid w:val="21765E6E"/>
    <w:rsid w:val="219A21A1"/>
    <w:rsid w:val="21B47E2B"/>
    <w:rsid w:val="21C46CB9"/>
    <w:rsid w:val="21F96981"/>
    <w:rsid w:val="220305BC"/>
    <w:rsid w:val="223736B0"/>
    <w:rsid w:val="22440246"/>
    <w:rsid w:val="224831DC"/>
    <w:rsid w:val="2268304A"/>
    <w:rsid w:val="227518C2"/>
    <w:rsid w:val="227F51C9"/>
    <w:rsid w:val="22C60924"/>
    <w:rsid w:val="22F8798D"/>
    <w:rsid w:val="23035AE9"/>
    <w:rsid w:val="23040DF1"/>
    <w:rsid w:val="2329041F"/>
    <w:rsid w:val="23362875"/>
    <w:rsid w:val="2344644F"/>
    <w:rsid w:val="23495829"/>
    <w:rsid w:val="237F295E"/>
    <w:rsid w:val="23846106"/>
    <w:rsid w:val="23EE4DCA"/>
    <w:rsid w:val="23F91B31"/>
    <w:rsid w:val="241733C3"/>
    <w:rsid w:val="24590177"/>
    <w:rsid w:val="245A5F48"/>
    <w:rsid w:val="24636F7F"/>
    <w:rsid w:val="246F2FF5"/>
    <w:rsid w:val="248529E5"/>
    <w:rsid w:val="24B90C32"/>
    <w:rsid w:val="24BE6BAD"/>
    <w:rsid w:val="24C874C6"/>
    <w:rsid w:val="24D257C5"/>
    <w:rsid w:val="24F47102"/>
    <w:rsid w:val="2503199D"/>
    <w:rsid w:val="25062034"/>
    <w:rsid w:val="250A663A"/>
    <w:rsid w:val="250E62ED"/>
    <w:rsid w:val="25197DDF"/>
    <w:rsid w:val="251B5340"/>
    <w:rsid w:val="25257535"/>
    <w:rsid w:val="2537560E"/>
    <w:rsid w:val="255023B3"/>
    <w:rsid w:val="25580509"/>
    <w:rsid w:val="256F211E"/>
    <w:rsid w:val="257512FD"/>
    <w:rsid w:val="258050B4"/>
    <w:rsid w:val="2582218D"/>
    <w:rsid w:val="258513B7"/>
    <w:rsid w:val="25A92BC0"/>
    <w:rsid w:val="25AC7520"/>
    <w:rsid w:val="25B3069D"/>
    <w:rsid w:val="25C937E5"/>
    <w:rsid w:val="25DC794C"/>
    <w:rsid w:val="25DD6474"/>
    <w:rsid w:val="260D60FB"/>
    <w:rsid w:val="260F53BB"/>
    <w:rsid w:val="2661018C"/>
    <w:rsid w:val="267A76BB"/>
    <w:rsid w:val="26972DE9"/>
    <w:rsid w:val="26A03BFF"/>
    <w:rsid w:val="26B02060"/>
    <w:rsid w:val="26C321B4"/>
    <w:rsid w:val="26DC52E8"/>
    <w:rsid w:val="26DE799C"/>
    <w:rsid w:val="271F5272"/>
    <w:rsid w:val="274512F7"/>
    <w:rsid w:val="27460A56"/>
    <w:rsid w:val="274B02AB"/>
    <w:rsid w:val="278B1A44"/>
    <w:rsid w:val="279D0BF9"/>
    <w:rsid w:val="27D62F7B"/>
    <w:rsid w:val="27DB58C7"/>
    <w:rsid w:val="27EC7049"/>
    <w:rsid w:val="27F23870"/>
    <w:rsid w:val="27FE55E9"/>
    <w:rsid w:val="280346FD"/>
    <w:rsid w:val="28156C2B"/>
    <w:rsid w:val="28434DC9"/>
    <w:rsid w:val="28490ACA"/>
    <w:rsid w:val="285321C7"/>
    <w:rsid w:val="28650375"/>
    <w:rsid w:val="286D0FD7"/>
    <w:rsid w:val="28820710"/>
    <w:rsid w:val="28B40967"/>
    <w:rsid w:val="28BE4682"/>
    <w:rsid w:val="28D102AE"/>
    <w:rsid w:val="28EA4774"/>
    <w:rsid w:val="28F85A0E"/>
    <w:rsid w:val="28FA51B6"/>
    <w:rsid w:val="28FB29A0"/>
    <w:rsid w:val="290F1730"/>
    <w:rsid w:val="292816C5"/>
    <w:rsid w:val="295560B6"/>
    <w:rsid w:val="295B076E"/>
    <w:rsid w:val="296026BE"/>
    <w:rsid w:val="29846436"/>
    <w:rsid w:val="298D5D01"/>
    <w:rsid w:val="299A76A5"/>
    <w:rsid w:val="29B84B39"/>
    <w:rsid w:val="29BA2B43"/>
    <w:rsid w:val="29CC7887"/>
    <w:rsid w:val="29D077D1"/>
    <w:rsid w:val="29DA78F5"/>
    <w:rsid w:val="2A2E79AF"/>
    <w:rsid w:val="2A6250D2"/>
    <w:rsid w:val="2A665805"/>
    <w:rsid w:val="2A9030DB"/>
    <w:rsid w:val="2AD51436"/>
    <w:rsid w:val="2AEE5217"/>
    <w:rsid w:val="2AEF2177"/>
    <w:rsid w:val="2AF71C80"/>
    <w:rsid w:val="2AF92A13"/>
    <w:rsid w:val="2B136D58"/>
    <w:rsid w:val="2B193CEA"/>
    <w:rsid w:val="2B1E03B9"/>
    <w:rsid w:val="2B2163C3"/>
    <w:rsid w:val="2BAB7ED1"/>
    <w:rsid w:val="2BDF3025"/>
    <w:rsid w:val="2BFD7DA2"/>
    <w:rsid w:val="2C583812"/>
    <w:rsid w:val="2C7A7D82"/>
    <w:rsid w:val="2C931219"/>
    <w:rsid w:val="2CC9419A"/>
    <w:rsid w:val="2CFB054D"/>
    <w:rsid w:val="2CFB3E93"/>
    <w:rsid w:val="2D053346"/>
    <w:rsid w:val="2D0F4914"/>
    <w:rsid w:val="2D291DD8"/>
    <w:rsid w:val="2D396BCA"/>
    <w:rsid w:val="2D4377C8"/>
    <w:rsid w:val="2D5161ED"/>
    <w:rsid w:val="2D6323E2"/>
    <w:rsid w:val="2D7B0927"/>
    <w:rsid w:val="2D8111E2"/>
    <w:rsid w:val="2D940471"/>
    <w:rsid w:val="2DAC1CD6"/>
    <w:rsid w:val="2DBD25CD"/>
    <w:rsid w:val="2DC4450F"/>
    <w:rsid w:val="2DE06A2F"/>
    <w:rsid w:val="2E00258C"/>
    <w:rsid w:val="2E017CA1"/>
    <w:rsid w:val="2E3B7660"/>
    <w:rsid w:val="2E4D5CD2"/>
    <w:rsid w:val="2E615056"/>
    <w:rsid w:val="2E733C43"/>
    <w:rsid w:val="2E7A26A0"/>
    <w:rsid w:val="2F154F48"/>
    <w:rsid w:val="2F211B9B"/>
    <w:rsid w:val="2F3D7AC4"/>
    <w:rsid w:val="2F4E45C9"/>
    <w:rsid w:val="2FA465D9"/>
    <w:rsid w:val="2FC57F8B"/>
    <w:rsid w:val="2FDE4C0C"/>
    <w:rsid w:val="2FE71C0D"/>
    <w:rsid w:val="2FEB3B81"/>
    <w:rsid w:val="2FF057A5"/>
    <w:rsid w:val="300109A8"/>
    <w:rsid w:val="30295B96"/>
    <w:rsid w:val="302D7D87"/>
    <w:rsid w:val="30364BA4"/>
    <w:rsid w:val="30427788"/>
    <w:rsid w:val="3048569D"/>
    <w:rsid w:val="304F3158"/>
    <w:rsid w:val="30523CED"/>
    <w:rsid w:val="305A0525"/>
    <w:rsid w:val="30692666"/>
    <w:rsid w:val="30741D92"/>
    <w:rsid w:val="30AE0C21"/>
    <w:rsid w:val="30C113AA"/>
    <w:rsid w:val="30C92AB9"/>
    <w:rsid w:val="30EE4BCA"/>
    <w:rsid w:val="30F0778F"/>
    <w:rsid w:val="31084791"/>
    <w:rsid w:val="315B7806"/>
    <w:rsid w:val="31634231"/>
    <w:rsid w:val="31685DFB"/>
    <w:rsid w:val="316A769C"/>
    <w:rsid w:val="31870E37"/>
    <w:rsid w:val="31C22A64"/>
    <w:rsid w:val="31CA46D0"/>
    <w:rsid w:val="31E8644C"/>
    <w:rsid w:val="323D0CFC"/>
    <w:rsid w:val="3256789B"/>
    <w:rsid w:val="32676C40"/>
    <w:rsid w:val="326F7229"/>
    <w:rsid w:val="32751AA7"/>
    <w:rsid w:val="32827D41"/>
    <w:rsid w:val="328A7AE0"/>
    <w:rsid w:val="329F1C40"/>
    <w:rsid w:val="32BF4B25"/>
    <w:rsid w:val="32C435E9"/>
    <w:rsid w:val="32C468E4"/>
    <w:rsid w:val="32D17B93"/>
    <w:rsid w:val="32D4339E"/>
    <w:rsid w:val="32EE02E0"/>
    <w:rsid w:val="32FD65D6"/>
    <w:rsid w:val="33094339"/>
    <w:rsid w:val="331C0261"/>
    <w:rsid w:val="335635C0"/>
    <w:rsid w:val="336B0F27"/>
    <w:rsid w:val="339A78C3"/>
    <w:rsid w:val="33BC4149"/>
    <w:rsid w:val="33E45E3D"/>
    <w:rsid w:val="33EC3C63"/>
    <w:rsid w:val="33FA284A"/>
    <w:rsid w:val="34045D2D"/>
    <w:rsid w:val="34234AB6"/>
    <w:rsid w:val="342D5D13"/>
    <w:rsid w:val="344F6204"/>
    <w:rsid w:val="34526E5A"/>
    <w:rsid w:val="34AC057A"/>
    <w:rsid w:val="34AC3D74"/>
    <w:rsid w:val="34B044A4"/>
    <w:rsid w:val="34BC5470"/>
    <w:rsid w:val="34F55CA1"/>
    <w:rsid w:val="35011425"/>
    <w:rsid w:val="35093836"/>
    <w:rsid w:val="35273A4C"/>
    <w:rsid w:val="35284C04"/>
    <w:rsid w:val="352A2B43"/>
    <w:rsid w:val="353306D8"/>
    <w:rsid w:val="35382836"/>
    <w:rsid w:val="353B7666"/>
    <w:rsid w:val="353E22DB"/>
    <w:rsid w:val="353E798C"/>
    <w:rsid w:val="35633FD8"/>
    <w:rsid w:val="35671361"/>
    <w:rsid w:val="35684F41"/>
    <w:rsid w:val="35956352"/>
    <w:rsid w:val="35BC5CCC"/>
    <w:rsid w:val="35D67A90"/>
    <w:rsid w:val="35E6061B"/>
    <w:rsid w:val="35EF4ABF"/>
    <w:rsid w:val="35F67622"/>
    <w:rsid w:val="35F97D0E"/>
    <w:rsid w:val="361D2603"/>
    <w:rsid w:val="366963BF"/>
    <w:rsid w:val="366A5C9C"/>
    <w:rsid w:val="36A80968"/>
    <w:rsid w:val="36A9432B"/>
    <w:rsid w:val="36AF0B03"/>
    <w:rsid w:val="36B13D98"/>
    <w:rsid w:val="36B94010"/>
    <w:rsid w:val="36C818A2"/>
    <w:rsid w:val="36E54FD9"/>
    <w:rsid w:val="36E81C3F"/>
    <w:rsid w:val="36EB265C"/>
    <w:rsid w:val="37304231"/>
    <w:rsid w:val="37336E2C"/>
    <w:rsid w:val="37345B48"/>
    <w:rsid w:val="37353E75"/>
    <w:rsid w:val="3736616E"/>
    <w:rsid w:val="373F78DE"/>
    <w:rsid w:val="374B2FC7"/>
    <w:rsid w:val="375059DF"/>
    <w:rsid w:val="37A82C97"/>
    <w:rsid w:val="37A924E3"/>
    <w:rsid w:val="37B552A8"/>
    <w:rsid w:val="37C153C1"/>
    <w:rsid w:val="37C5662F"/>
    <w:rsid w:val="37DA1B68"/>
    <w:rsid w:val="37E57C46"/>
    <w:rsid w:val="38730946"/>
    <w:rsid w:val="38AD7FBF"/>
    <w:rsid w:val="38CD3B0C"/>
    <w:rsid w:val="38EA4455"/>
    <w:rsid w:val="39250E5C"/>
    <w:rsid w:val="39262BB4"/>
    <w:rsid w:val="393126B9"/>
    <w:rsid w:val="395B7293"/>
    <w:rsid w:val="39691347"/>
    <w:rsid w:val="3977123B"/>
    <w:rsid w:val="39950A08"/>
    <w:rsid w:val="399D36E6"/>
    <w:rsid w:val="39AC33C9"/>
    <w:rsid w:val="39B14BAC"/>
    <w:rsid w:val="39B5451A"/>
    <w:rsid w:val="39E74944"/>
    <w:rsid w:val="39FF1401"/>
    <w:rsid w:val="3A0B34E1"/>
    <w:rsid w:val="3A367085"/>
    <w:rsid w:val="3A3F1ACB"/>
    <w:rsid w:val="3A5F32AE"/>
    <w:rsid w:val="3A640EC6"/>
    <w:rsid w:val="3A750C2A"/>
    <w:rsid w:val="3A765041"/>
    <w:rsid w:val="3A7A67C4"/>
    <w:rsid w:val="3A7C013A"/>
    <w:rsid w:val="3A9419B5"/>
    <w:rsid w:val="3A967880"/>
    <w:rsid w:val="3A9F4CE8"/>
    <w:rsid w:val="3ABA0533"/>
    <w:rsid w:val="3AC442AA"/>
    <w:rsid w:val="3AD63080"/>
    <w:rsid w:val="3AE138E8"/>
    <w:rsid w:val="3AEA6B14"/>
    <w:rsid w:val="3B2A20C5"/>
    <w:rsid w:val="3B303A13"/>
    <w:rsid w:val="3B3712BC"/>
    <w:rsid w:val="3B756E16"/>
    <w:rsid w:val="3BAB2413"/>
    <w:rsid w:val="3BAC3908"/>
    <w:rsid w:val="3BB13408"/>
    <w:rsid w:val="3BBA5532"/>
    <w:rsid w:val="3BDB1FCA"/>
    <w:rsid w:val="3BE91C12"/>
    <w:rsid w:val="3BED4694"/>
    <w:rsid w:val="3C0D4D4C"/>
    <w:rsid w:val="3C1B76F6"/>
    <w:rsid w:val="3C1D277A"/>
    <w:rsid w:val="3C2353FC"/>
    <w:rsid w:val="3C3F0FBC"/>
    <w:rsid w:val="3C806C86"/>
    <w:rsid w:val="3CA60827"/>
    <w:rsid w:val="3CB22B7D"/>
    <w:rsid w:val="3D146B29"/>
    <w:rsid w:val="3D273132"/>
    <w:rsid w:val="3D3061F3"/>
    <w:rsid w:val="3D330573"/>
    <w:rsid w:val="3D4C6138"/>
    <w:rsid w:val="3D550632"/>
    <w:rsid w:val="3D5639D8"/>
    <w:rsid w:val="3D57213B"/>
    <w:rsid w:val="3D5A31C9"/>
    <w:rsid w:val="3D5B4A5D"/>
    <w:rsid w:val="3D6C17A7"/>
    <w:rsid w:val="3D8C696D"/>
    <w:rsid w:val="3D91060F"/>
    <w:rsid w:val="3D972181"/>
    <w:rsid w:val="3DAA5449"/>
    <w:rsid w:val="3DEE05E6"/>
    <w:rsid w:val="3DFA051D"/>
    <w:rsid w:val="3E05181C"/>
    <w:rsid w:val="3E1C484F"/>
    <w:rsid w:val="3E320DEC"/>
    <w:rsid w:val="3E472602"/>
    <w:rsid w:val="3E5F17A6"/>
    <w:rsid w:val="3E6D25CF"/>
    <w:rsid w:val="3E816332"/>
    <w:rsid w:val="3E94330A"/>
    <w:rsid w:val="3EA73114"/>
    <w:rsid w:val="3EAE39B5"/>
    <w:rsid w:val="3EBA0E46"/>
    <w:rsid w:val="3ECB5B09"/>
    <w:rsid w:val="3EFA7FFD"/>
    <w:rsid w:val="3EFB4D07"/>
    <w:rsid w:val="3F0E3B50"/>
    <w:rsid w:val="3F1E2E0D"/>
    <w:rsid w:val="3F404A35"/>
    <w:rsid w:val="3F4A60E0"/>
    <w:rsid w:val="3F4B18A4"/>
    <w:rsid w:val="3F56004D"/>
    <w:rsid w:val="3F750818"/>
    <w:rsid w:val="3F7F4698"/>
    <w:rsid w:val="3F9A0994"/>
    <w:rsid w:val="3F9B06C8"/>
    <w:rsid w:val="3F9B7B18"/>
    <w:rsid w:val="3FBE089B"/>
    <w:rsid w:val="3FD17C46"/>
    <w:rsid w:val="3FF15CA6"/>
    <w:rsid w:val="400214CD"/>
    <w:rsid w:val="400F065A"/>
    <w:rsid w:val="40463E1D"/>
    <w:rsid w:val="404C672E"/>
    <w:rsid w:val="40597A2A"/>
    <w:rsid w:val="406959C5"/>
    <w:rsid w:val="407E36F7"/>
    <w:rsid w:val="407F1A32"/>
    <w:rsid w:val="409D3427"/>
    <w:rsid w:val="40A4585C"/>
    <w:rsid w:val="40AD4660"/>
    <w:rsid w:val="40B331F1"/>
    <w:rsid w:val="40C474F6"/>
    <w:rsid w:val="40DC1DA5"/>
    <w:rsid w:val="411B27A6"/>
    <w:rsid w:val="41282D59"/>
    <w:rsid w:val="41302C9E"/>
    <w:rsid w:val="413B297B"/>
    <w:rsid w:val="414C4C33"/>
    <w:rsid w:val="41841F1E"/>
    <w:rsid w:val="41984C7C"/>
    <w:rsid w:val="41A76EB0"/>
    <w:rsid w:val="41B33B11"/>
    <w:rsid w:val="41C756D2"/>
    <w:rsid w:val="41CD1D93"/>
    <w:rsid w:val="41D13909"/>
    <w:rsid w:val="41E01492"/>
    <w:rsid w:val="41E57168"/>
    <w:rsid w:val="41E661B2"/>
    <w:rsid w:val="41EC1889"/>
    <w:rsid w:val="41F80ECE"/>
    <w:rsid w:val="4208055B"/>
    <w:rsid w:val="423075FE"/>
    <w:rsid w:val="425A2B33"/>
    <w:rsid w:val="42756623"/>
    <w:rsid w:val="42763767"/>
    <w:rsid w:val="42A07EB1"/>
    <w:rsid w:val="42A97B05"/>
    <w:rsid w:val="42AF4886"/>
    <w:rsid w:val="42C71C14"/>
    <w:rsid w:val="42CF4866"/>
    <w:rsid w:val="42D863FB"/>
    <w:rsid w:val="42E53773"/>
    <w:rsid w:val="42F42082"/>
    <w:rsid w:val="430D368B"/>
    <w:rsid w:val="430E5437"/>
    <w:rsid w:val="431B5B66"/>
    <w:rsid w:val="431E02ED"/>
    <w:rsid w:val="43434C4F"/>
    <w:rsid w:val="434B104D"/>
    <w:rsid w:val="435234BD"/>
    <w:rsid w:val="43590CC3"/>
    <w:rsid w:val="435D3CC5"/>
    <w:rsid w:val="4363198E"/>
    <w:rsid w:val="43716B31"/>
    <w:rsid w:val="437D3000"/>
    <w:rsid w:val="43A91941"/>
    <w:rsid w:val="43BB188D"/>
    <w:rsid w:val="43C917A8"/>
    <w:rsid w:val="43CD33BA"/>
    <w:rsid w:val="43D27ABF"/>
    <w:rsid w:val="43D46A00"/>
    <w:rsid w:val="43D92067"/>
    <w:rsid w:val="43DD1057"/>
    <w:rsid w:val="43E07C43"/>
    <w:rsid w:val="440E679D"/>
    <w:rsid w:val="441969BC"/>
    <w:rsid w:val="442133C3"/>
    <w:rsid w:val="444D72D3"/>
    <w:rsid w:val="446563D4"/>
    <w:rsid w:val="447A4D50"/>
    <w:rsid w:val="4484172B"/>
    <w:rsid w:val="44996EA3"/>
    <w:rsid w:val="44A602B7"/>
    <w:rsid w:val="44B40D58"/>
    <w:rsid w:val="44BC56D9"/>
    <w:rsid w:val="44C440C6"/>
    <w:rsid w:val="44D73812"/>
    <w:rsid w:val="44F15A21"/>
    <w:rsid w:val="44F861F8"/>
    <w:rsid w:val="450D2628"/>
    <w:rsid w:val="451548B5"/>
    <w:rsid w:val="451953ED"/>
    <w:rsid w:val="45532965"/>
    <w:rsid w:val="455D06E8"/>
    <w:rsid w:val="455D6441"/>
    <w:rsid w:val="455F2A77"/>
    <w:rsid w:val="45713FB7"/>
    <w:rsid w:val="457A4A6B"/>
    <w:rsid w:val="458C41B3"/>
    <w:rsid w:val="45D962E1"/>
    <w:rsid w:val="45DC419D"/>
    <w:rsid w:val="45ED519E"/>
    <w:rsid w:val="45F43341"/>
    <w:rsid w:val="460C6458"/>
    <w:rsid w:val="4617150D"/>
    <w:rsid w:val="462C398F"/>
    <w:rsid w:val="463D3702"/>
    <w:rsid w:val="464B6E60"/>
    <w:rsid w:val="467A7FEB"/>
    <w:rsid w:val="46885583"/>
    <w:rsid w:val="4697031F"/>
    <w:rsid w:val="469822A5"/>
    <w:rsid w:val="469C6678"/>
    <w:rsid w:val="46C841BB"/>
    <w:rsid w:val="46F203E7"/>
    <w:rsid w:val="47082645"/>
    <w:rsid w:val="472E0508"/>
    <w:rsid w:val="47342A71"/>
    <w:rsid w:val="47513166"/>
    <w:rsid w:val="47567A48"/>
    <w:rsid w:val="475A2C17"/>
    <w:rsid w:val="4763270D"/>
    <w:rsid w:val="47743CD8"/>
    <w:rsid w:val="47763BD9"/>
    <w:rsid w:val="47793D8D"/>
    <w:rsid w:val="479A5232"/>
    <w:rsid w:val="479F63DE"/>
    <w:rsid w:val="47A422FB"/>
    <w:rsid w:val="47A65E2B"/>
    <w:rsid w:val="47BD76C0"/>
    <w:rsid w:val="47C95A93"/>
    <w:rsid w:val="47CD6D60"/>
    <w:rsid w:val="47D11C2F"/>
    <w:rsid w:val="47E05498"/>
    <w:rsid w:val="47EC54F0"/>
    <w:rsid w:val="47F43E95"/>
    <w:rsid w:val="47F7072E"/>
    <w:rsid w:val="48174B7D"/>
    <w:rsid w:val="481832DD"/>
    <w:rsid w:val="482B4618"/>
    <w:rsid w:val="485C584B"/>
    <w:rsid w:val="48604567"/>
    <w:rsid w:val="48893430"/>
    <w:rsid w:val="488B2CB3"/>
    <w:rsid w:val="48B65D2E"/>
    <w:rsid w:val="48D02A9D"/>
    <w:rsid w:val="48D7760D"/>
    <w:rsid w:val="48E56510"/>
    <w:rsid w:val="48E8659B"/>
    <w:rsid w:val="48F36227"/>
    <w:rsid w:val="48F378F1"/>
    <w:rsid w:val="4900327C"/>
    <w:rsid w:val="49164EF1"/>
    <w:rsid w:val="49297CB1"/>
    <w:rsid w:val="494E6D9D"/>
    <w:rsid w:val="49561956"/>
    <w:rsid w:val="495E079C"/>
    <w:rsid w:val="49625A84"/>
    <w:rsid w:val="4982584A"/>
    <w:rsid w:val="498726EB"/>
    <w:rsid w:val="499875F7"/>
    <w:rsid w:val="49B21BF6"/>
    <w:rsid w:val="49C3276D"/>
    <w:rsid w:val="49C600F0"/>
    <w:rsid w:val="49C774EA"/>
    <w:rsid w:val="49C82854"/>
    <w:rsid w:val="49C909F4"/>
    <w:rsid w:val="49CF1EEB"/>
    <w:rsid w:val="49E034FB"/>
    <w:rsid w:val="4A0F1E08"/>
    <w:rsid w:val="4A154A93"/>
    <w:rsid w:val="4A415973"/>
    <w:rsid w:val="4A452623"/>
    <w:rsid w:val="4A465230"/>
    <w:rsid w:val="4A467CA5"/>
    <w:rsid w:val="4A55626F"/>
    <w:rsid w:val="4A7118ED"/>
    <w:rsid w:val="4A7A4E42"/>
    <w:rsid w:val="4A966830"/>
    <w:rsid w:val="4AA315D3"/>
    <w:rsid w:val="4AF64E4D"/>
    <w:rsid w:val="4B10257D"/>
    <w:rsid w:val="4B111D5C"/>
    <w:rsid w:val="4B180FCB"/>
    <w:rsid w:val="4B4C4AB9"/>
    <w:rsid w:val="4B5005B9"/>
    <w:rsid w:val="4B6508ED"/>
    <w:rsid w:val="4B764164"/>
    <w:rsid w:val="4B7F5811"/>
    <w:rsid w:val="4B8801F8"/>
    <w:rsid w:val="4B8D734C"/>
    <w:rsid w:val="4BA42D06"/>
    <w:rsid w:val="4BCA76AB"/>
    <w:rsid w:val="4BDB364B"/>
    <w:rsid w:val="4C000D0E"/>
    <w:rsid w:val="4C2B0021"/>
    <w:rsid w:val="4C3C0FF9"/>
    <w:rsid w:val="4C47324A"/>
    <w:rsid w:val="4C661036"/>
    <w:rsid w:val="4C662E30"/>
    <w:rsid w:val="4C676B4C"/>
    <w:rsid w:val="4C9E0752"/>
    <w:rsid w:val="4CB1547B"/>
    <w:rsid w:val="4CE76093"/>
    <w:rsid w:val="4CF016FB"/>
    <w:rsid w:val="4CF304F1"/>
    <w:rsid w:val="4D0F33FA"/>
    <w:rsid w:val="4D161B91"/>
    <w:rsid w:val="4D380FE1"/>
    <w:rsid w:val="4D3F7129"/>
    <w:rsid w:val="4D425F75"/>
    <w:rsid w:val="4D4B6D25"/>
    <w:rsid w:val="4D4E464C"/>
    <w:rsid w:val="4D5009F5"/>
    <w:rsid w:val="4D525B79"/>
    <w:rsid w:val="4D683405"/>
    <w:rsid w:val="4DA50E0E"/>
    <w:rsid w:val="4DC332C4"/>
    <w:rsid w:val="4DD243D6"/>
    <w:rsid w:val="4DD90079"/>
    <w:rsid w:val="4DFA0810"/>
    <w:rsid w:val="4DFB622D"/>
    <w:rsid w:val="4E033C96"/>
    <w:rsid w:val="4E2D1DF5"/>
    <w:rsid w:val="4E3B3448"/>
    <w:rsid w:val="4E4A5364"/>
    <w:rsid w:val="4E515618"/>
    <w:rsid w:val="4E5824E9"/>
    <w:rsid w:val="4E655986"/>
    <w:rsid w:val="4E7147DF"/>
    <w:rsid w:val="4E7974C8"/>
    <w:rsid w:val="4E804390"/>
    <w:rsid w:val="4E8372F1"/>
    <w:rsid w:val="4EB16272"/>
    <w:rsid w:val="4EB3359E"/>
    <w:rsid w:val="4EC15F85"/>
    <w:rsid w:val="4EE34051"/>
    <w:rsid w:val="4F165751"/>
    <w:rsid w:val="4F16759C"/>
    <w:rsid w:val="4F1A293A"/>
    <w:rsid w:val="4F4212E8"/>
    <w:rsid w:val="4F540AB4"/>
    <w:rsid w:val="4F5F1893"/>
    <w:rsid w:val="4F862AA5"/>
    <w:rsid w:val="4FA5588D"/>
    <w:rsid w:val="4FAF69AB"/>
    <w:rsid w:val="4FB0224C"/>
    <w:rsid w:val="4FB31A6D"/>
    <w:rsid w:val="4FCB080C"/>
    <w:rsid w:val="4FD87B35"/>
    <w:rsid w:val="4FD94CC7"/>
    <w:rsid w:val="4FE7757A"/>
    <w:rsid w:val="4FEE52A4"/>
    <w:rsid w:val="4FFE4A87"/>
    <w:rsid w:val="50312199"/>
    <w:rsid w:val="504A2420"/>
    <w:rsid w:val="504D0D18"/>
    <w:rsid w:val="50691FFD"/>
    <w:rsid w:val="50A200C2"/>
    <w:rsid w:val="50B769E4"/>
    <w:rsid w:val="50DB77A4"/>
    <w:rsid w:val="50DD095B"/>
    <w:rsid w:val="51001519"/>
    <w:rsid w:val="510B082E"/>
    <w:rsid w:val="51485F93"/>
    <w:rsid w:val="51571C85"/>
    <w:rsid w:val="515877C7"/>
    <w:rsid w:val="5160400F"/>
    <w:rsid w:val="516804F6"/>
    <w:rsid w:val="51AD35D6"/>
    <w:rsid w:val="51B67C21"/>
    <w:rsid w:val="51C96E1D"/>
    <w:rsid w:val="51DF1B00"/>
    <w:rsid w:val="51DF399A"/>
    <w:rsid w:val="51EB2AAC"/>
    <w:rsid w:val="521F6F37"/>
    <w:rsid w:val="52364562"/>
    <w:rsid w:val="523967EA"/>
    <w:rsid w:val="523B78D6"/>
    <w:rsid w:val="52552AA8"/>
    <w:rsid w:val="525A15B2"/>
    <w:rsid w:val="52666891"/>
    <w:rsid w:val="528B6A90"/>
    <w:rsid w:val="528C34C2"/>
    <w:rsid w:val="52A37795"/>
    <w:rsid w:val="52A8723E"/>
    <w:rsid w:val="52B34CF2"/>
    <w:rsid w:val="52DA7DF8"/>
    <w:rsid w:val="52E042F5"/>
    <w:rsid w:val="52E060DF"/>
    <w:rsid w:val="52EB6BC0"/>
    <w:rsid w:val="52EC2700"/>
    <w:rsid w:val="531C3012"/>
    <w:rsid w:val="53205058"/>
    <w:rsid w:val="533152B4"/>
    <w:rsid w:val="53A2740F"/>
    <w:rsid w:val="53E9258F"/>
    <w:rsid w:val="540D507F"/>
    <w:rsid w:val="54116566"/>
    <w:rsid w:val="542B3FF0"/>
    <w:rsid w:val="54315E6E"/>
    <w:rsid w:val="54352A41"/>
    <w:rsid w:val="544B41FE"/>
    <w:rsid w:val="545E089B"/>
    <w:rsid w:val="54754BEC"/>
    <w:rsid w:val="547805C3"/>
    <w:rsid w:val="547A3515"/>
    <w:rsid w:val="549B0D18"/>
    <w:rsid w:val="54B7208A"/>
    <w:rsid w:val="54ED7813"/>
    <w:rsid w:val="54F32248"/>
    <w:rsid w:val="55014210"/>
    <w:rsid w:val="55271172"/>
    <w:rsid w:val="55280DB6"/>
    <w:rsid w:val="552E325F"/>
    <w:rsid w:val="553A6A7E"/>
    <w:rsid w:val="5547097A"/>
    <w:rsid w:val="55582A34"/>
    <w:rsid w:val="55612CB4"/>
    <w:rsid w:val="55680BDB"/>
    <w:rsid w:val="55AE0708"/>
    <w:rsid w:val="55B9435E"/>
    <w:rsid w:val="55C26892"/>
    <w:rsid w:val="55EB1798"/>
    <w:rsid w:val="55EF77A9"/>
    <w:rsid w:val="55F932E1"/>
    <w:rsid w:val="561D3B5F"/>
    <w:rsid w:val="5630726B"/>
    <w:rsid w:val="5631732D"/>
    <w:rsid w:val="563634DD"/>
    <w:rsid w:val="56374D07"/>
    <w:rsid w:val="564E2D20"/>
    <w:rsid w:val="56504CBE"/>
    <w:rsid w:val="56635173"/>
    <w:rsid w:val="56653CED"/>
    <w:rsid w:val="56845912"/>
    <w:rsid w:val="56875872"/>
    <w:rsid w:val="56B27418"/>
    <w:rsid w:val="56BC718F"/>
    <w:rsid w:val="56F354CB"/>
    <w:rsid w:val="570E3009"/>
    <w:rsid w:val="571938AE"/>
    <w:rsid w:val="57522F77"/>
    <w:rsid w:val="5784337A"/>
    <w:rsid w:val="578D23EE"/>
    <w:rsid w:val="578E473A"/>
    <w:rsid w:val="579D5097"/>
    <w:rsid w:val="57AB0EBE"/>
    <w:rsid w:val="57CB4581"/>
    <w:rsid w:val="57CF1C52"/>
    <w:rsid w:val="57E40FE3"/>
    <w:rsid w:val="57EB3AB5"/>
    <w:rsid w:val="580A58E4"/>
    <w:rsid w:val="5812667A"/>
    <w:rsid w:val="58301FCA"/>
    <w:rsid w:val="58437927"/>
    <w:rsid w:val="58544B92"/>
    <w:rsid w:val="5859555E"/>
    <w:rsid w:val="585B218E"/>
    <w:rsid w:val="58661191"/>
    <w:rsid w:val="587257C0"/>
    <w:rsid w:val="587E7524"/>
    <w:rsid w:val="589349B9"/>
    <w:rsid w:val="58984A34"/>
    <w:rsid w:val="58B606DC"/>
    <w:rsid w:val="58C773E7"/>
    <w:rsid w:val="58CD4706"/>
    <w:rsid w:val="58DC21E9"/>
    <w:rsid w:val="58E15AB0"/>
    <w:rsid w:val="58E6430A"/>
    <w:rsid w:val="58F107FD"/>
    <w:rsid w:val="58FC1C11"/>
    <w:rsid w:val="59084281"/>
    <w:rsid w:val="591E7399"/>
    <w:rsid w:val="594B4970"/>
    <w:rsid w:val="59B71030"/>
    <w:rsid w:val="59BF38E5"/>
    <w:rsid w:val="59DB4626"/>
    <w:rsid w:val="59E62643"/>
    <w:rsid w:val="59ED3BE9"/>
    <w:rsid w:val="59F033A8"/>
    <w:rsid w:val="59FD7B5D"/>
    <w:rsid w:val="59FE784D"/>
    <w:rsid w:val="5A1B62B7"/>
    <w:rsid w:val="5A1D734D"/>
    <w:rsid w:val="5A2E155E"/>
    <w:rsid w:val="5A3200E9"/>
    <w:rsid w:val="5A347973"/>
    <w:rsid w:val="5A494B51"/>
    <w:rsid w:val="5A8E3CAE"/>
    <w:rsid w:val="5A9452DE"/>
    <w:rsid w:val="5ACF05EF"/>
    <w:rsid w:val="5AD6396C"/>
    <w:rsid w:val="5B0F5395"/>
    <w:rsid w:val="5B1D06DB"/>
    <w:rsid w:val="5B1D4401"/>
    <w:rsid w:val="5B3759E9"/>
    <w:rsid w:val="5B42013C"/>
    <w:rsid w:val="5B5C1899"/>
    <w:rsid w:val="5B662FE2"/>
    <w:rsid w:val="5B6E5782"/>
    <w:rsid w:val="5B72079D"/>
    <w:rsid w:val="5B724191"/>
    <w:rsid w:val="5B934767"/>
    <w:rsid w:val="5B9B1B81"/>
    <w:rsid w:val="5BB651B5"/>
    <w:rsid w:val="5BCA053F"/>
    <w:rsid w:val="5BCB7AB6"/>
    <w:rsid w:val="5C2F7F3C"/>
    <w:rsid w:val="5C69320F"/>
    <w:rsid w:val="5C6953AE"/>
    <w:rsid w:val="5C6E1E7C"/>
    <w:rsid w:val="5C746A1A"/>
    <w:rsid w:val="5C9946BE"/>
    <w:rsid w:val="5C9F5D8A"/>
    <w:rsid w:val="5CBF5D03"/>
    <w:rsid w:val="5CCF3956"/>
    <w:rsid w:val="5D073DA5"/>
    <w:rsid w:val="5D0765A2"/>
    <w:rsid w:val="5D241F18"/>
    <w:rsid w:val="5D4C7E1F"/>
    <w:rsid w:val="5D605EA7"/>
    <w:rsid w:val="5D6219CA"/>
    <w:rsid w:val="5D8C5926"/>
    <w:rsid w:val="5D8F01BD"/>
    <w:rsid w:val="5D9562FF"/>
    <w:rsid w:val="5DB71CB4"/>
    <w:rsid w:val="5DBF3354"/>
    <w:rsid w:val="5DC06233"/>
    <w:rsid w:val="5DDD2180"/>
    <w:rsid w:val="5DE07BCA"/>
    <w:rsid w:val="5DFA5E06"/>
    <w:rsid w:val="5E145476"/>
    <w:rsid w:val="5E26301D"/>
    <w:rsid w:val="5E3B3C2B"/>
    <w:rsid w:val="5E3F0ED1"/>
    <w:rsid w:val="5E525C5A"/>
    <w:rsid w:val="5E6B5946"/>
    <w:rsid w:val="5E7602B4"/>
    <w:rsid w:val="5E781C2E"/>
    <w:rsid w:val="5E8074BD"/>
    <w:rsid w:val="5EA8716A"/>
    <w:rsid w:val="5EB51944"/>
    <w:rsid w:val="5EBD38BE"/>
    <w:rsid w:val="5EC25E90"/>
    <w:rsid w:val="5EC4560A"/>
    <w:rsid w:val="5ED5115A"/>
    <w:rsid w:val="5EE7589D"/>
    <w:rsid w:val="5F282BEE"/>
    <w:rsid w:val="5F3867A1"/>
    <w:rsid w:val="5F3874BC"/>
    <w:rsid w:val="5F405339"/>
    <w:rsid w:val="5F442015"/>
    <w:rsid w:val="5F5B4CF9"/>
    <w:rsid w:val="5F5E2969"/>
    <w:rsid w:val="5F6A5507"/>
    <w:rsid w:val="5F8A482B"/>
    <w:rsid w:val="5FAA2A13"/>
    <w:rsid w:val="5FAE078C"/>
    <w:rsid w:val="5FB7255D"/>
    <w:rsid w:val="5FBA67CB"/>
    <w:rsid w:val="5FC858BA"/>
    <w:rsid w:val="5FD679FA"/>
    <w:rsid w:val="5FF13CC0"/>
    <w:rsid w:val="5FF93C95"/>
    <w:rsid w:val="60186DBC"/>
    <w:rsid w:val="6034542F"/>
    <w:rsid w:val="60375EC6"/>
    <w:rsid w:val="604A75CB"/>
    <w:rsid w:val="60661DF6"/>
    <w:rsid w:val="60C00F21"/>
    <w:rsid w:val="60D12B94"/>
    <w:rsid w:val="60ED696E"/>
    <w:rsid w:val="60F96EE0"/>
    <w:rsid w:val="611E19B1"/>
    <w:rsid w:val="612723C5"/>
    <w:rsid w:val="613009FC"/>
    <w:rsid w:val="61343DEB"/>
    <w:rsid w:val="6141162A"/>
    <w:rsid w:val="61475CB9"/>
    <w:rsid w:val="61636EFB"/>
    <w:rsid w:val="617571C8"/>
    <w:rsid w:val="61BF1B9C"/>
    <w:rsid w:val="61BF3FDC"/>
    <w:rsid w:val="61F5736C"/>
    <w:rsid w:val="620B6AE3"/>
    <w:rsid w:val="621D6CB6"/>
    <w:rsid w:val="621F3F0D"/>
    <w:rsid w:val="625974F7"/>
    <w:rsid w:val="629F49B0"/>
    <w:rsid w:val="62A449EB"/>
    <w:rsid w:val="62D376AD"/>
    <w:rsid w:val="62D76FD9"/>
    <w:rsid w:val="62D82144"/>
    <w:rsid w:val="62F5643E"/>
    <w:rsid w:val="630561C9"/>
    <w:rsid w:val="63090319"/>
    <w:rsid w:val="6314571B"/>
    <w:rsid w:val="631628AB"/>
    <w:rsid w:val="632D0042"/>
    <w:rsid w:val="633B5443"/>
    <w:rsid w:val="633C4484"/>
    <w:rsid w:val="63526AAF"/>
    <w:rsid w:val="635872AF"/>
    <w:rsid w:val="63633362"/>
    <w:rsid w:val="636D2FEC"/>
    <w:rsid w:val="63707F82"/>
    <w:rsid w:val="6395146B"/>
    <w:rsid w:val="639615F8"/>
    <w:rsid w:val="639D4912"/>
    <w:rsid w:val="63B32BC8"/>
    <w:rsid w:val="63B400B3"/>
    <w:rsid w:val="63B4032A"/>
    <w:rsid w:val="63BA77CD"/>
    <w:rsid w:val="63D1075A"/>
    <w:rsid w:val="63DB0CCE"/>
    <w:rsid w:val="63EE0F25"/>
    <w:rsid w:val="641F3C92"/>
    <w:rsid w:val="642F40AE"/>
    <w:rsid w:val="643A7E2E"/>
    <w:rsid w:val="644214F5"/>
    <w:rsid w:val="644B7C70"/>
    <w:rsid w:val="649C0E93"/>
    <w:rsid w:val="64CA44A4"/>
    <w:rsid w:val="650E3218"/>
    <w:rsid w:val="650F646A"/>
    <w:rsid w:val="651E0881"/>
    <w:rsid w:val="654372C6"/>
    <w:rsid w:val="6550380B"/>
    <w:rsid w:val="65595BDD"/>
    <w:rsid w:val="655F190A"/>
    <w:rsid w:val="656C4C69"/>
    <w:rsid w:val="65752893"/>
    <w:rsid w:val="65A9248D"/>
    <w:rsid w:val="65DF280D"/>
    <w:rsid w:val="65FF0AD1"/>
    <w:rsid w:val="660D7C1D"/>
    <w:rsid w:val="661D6669"/>
    <w:rsid w:val="662D5DD3"/>
    <w:rsid w:val="664217D4"/>
    <w:rsid w:val="664A1A2C"/>
    <w:rsid w:val="66524D15"/>
    <w:rsid w:val="66552E91"/>
    <w:rsid w:val="665E7CB6"/>
    <w:rsid w:val="66640B3B"/>
    <w:rsid w:val="668820EE"/>
    <w:rsid w:val="668C5E3D"/>
    <w:rsid w:val="66A979FF"/>
    <w:rsid w:val="66B671A3"/>
    <w:rsid w:val="66BC3F2F"/>
    <w:rsid w:val="66D15328"/>
    <w:rsid w:val="66E245DB"/>
    <w:rsid w:val="66F9345B"/>
    <w:rsid w:val="67020005"/>
    <w:rsid w:val="6743251D"/>
    <w:rsid w:val="67523BD8"/>
    <w:rsid w:val="6778276D"/>
    <w:rsid w:val="67910E58"/>
    <w:rsid w:val="67941A60"/>
    <w:rsid w:val="67A557D8"/>
    <w:rsid w:val="67B95693"/>
    <w:rsid w:val="67C42ADF"/>
    <w:rsid w:val="67CF1697"/>
    <w:rsid w:val="67DB775B"/>
    <w:rsid w:val="67FB3541"/>
    <w:rsid w:val="67FF4833"/>
    <w:rsid w:val="680F301B"/>
    <w:rsid w:val="68167D5C"/>
    <w:rsid w:val="682E0369"/>
    <w:rsid w:val="683A600D"/>
    <w:rsid w:val="68695454"/>
    <w:rsid w:val="68714318"/>
    <w:rsid w:val="68852268"/>
    <w:rsid w:val="689365AA"/>
    <w:rsid w:val="68A141C1"/>
    <w:rsid w:val="68A210CD"/>
    <w:rsid w:val="68C13ED1"/>
    <w:rsid w:val="68C2672E"/>
    <w:rsid w:val="68C96E13"/>
    <w:rsid w:val="68CE14A6"/>
    <w:rsid w:val="68E12CF8"/>
    <w:rsid w:val="690E2177"/>
    <w:rsid w:val="69353E4D"/>
    <w:rsid w:val="693C3ABB"/>
    <w:rsid w:val="693D6BCE"/>
    <w:rsid w:val="69456897"/>
    <w:rsid w:val="694974A6"/>
    <w:rsid w:val="694B49D8"/>
    <w:rsid w:val="69511E82"/>
    <w:rsid w:val="695B1078"/>
    <w:rsid w:val="69724C8C"/>
    <w:rsid w:val="69743B5A"/>
    <w:rsid w:val="69A61E31"/>
    <w:rsid w:val="69AD1B56"/>
    <w:rsid w:val="69BD1999"/>
    <w:rsid w:val="69E21275"/>
    <w:rsid w:val="6A046C7D"/>
    <w:rsid w:val="6A052524"/>
    <w:rsid w:val="6A102E21"/>
    <w:rsid w:val="6A1D0B6C"/>
    <w:rsid w:val="6A48125B"/>
    <w:rsid w:val="6A4D6F2D"/>
    <w:rsid w:val="6A582B8E"/>
    <w:rsid w:val="6A6F5D14"/>
    <w:rsid w:val="6A9E4EFC"/>
    <w:rsid w:val="6A9F7EA5"/>
    <w:rsid w:val="6AA0328B"/>
    <w:rsid w:val="6AA31989"/>
    <w:rsid w:val="6AA719C3"/>
    <w:rsid w:val="6AA749D3"/>
    <w:rsid w:val="6AA8474B"/>
    <w:rsid w:val="6ABD7E94"/>
    <w:rsid w:val="6AC123A1"/>
    <w:rsid w:val="6AC1414D"/>
    <w:rsid w:val="6AD17FD4"/>
    <w:rsid w:val="6AD25AD4"/>
    <w:rsid w:val="6AE0319E"/>
    <w:rsid w:val="6AF04C3D"/>
    <w:rsid w:val="6AF425FA"/>
    <w:rsid w:val="6AF55824"/>
    <w:rsid w:val="6B0740EC"/>
    <w:rsid w:val="6B212312"/>
    <w:rsid w:val="6B2C7E64"/>
    <w:rsid w:val="6B442D71"/>
    <w:rsid w:val="6B5B7933"/>
    <w:rsid w:val="6B6673F1"/>
    <w:rsid w:val="6B74337B"/>
    <w:rsid w:val="6B81516C"/>
    <w:rsid w:val="6B8359E9"/>
    <w:rsid w:val="6B917839"/>
    <w:rsid w:val="6B994859"/>
    <w:rsid w:val="6B9D3D30"/>
    <w:rsid w:val="6BA31258"/>
    <w:rsid w:val="6BAD0E85"/>
    <w:rsid w:val="6BAD67D3"/>
    <w:rsid w:val="6BB35E34"/>
    <w:rsid w:val="6BBA6682"/>
    <w:rsid w:val="6BC0459A"/>
    <w:rsid w:val="6BD84C75"/>
    <w:rsid w:val="6C470E80"/>
    <w:rsid w:val="6C561382"/>
    <w:rsid w:val="6C5944C7"/>
    <w:rsid w:val="6C686061"/>
    <w:rsid w:val="6C686F94"/>
    <w:rsid w:val="6C6A46A5"/>
    <w:rsid w:val="6C6B068B"/>
    <w:rsid w:val="6C757894"/>
    <w:rsid w:val="6C833999"/>
    <w:rsid w:val="6C973C5D"/>
    <w:rsid w:val="6C9B0F85"/>
    <w:rsid w:val="6C9C1708"/>
    <w:rsid w:val="6C9D176F"/>
    <w:rsid w:val="6CAB51F7"/>
    <w:rsid w:val="6CB5658D"/>
    <w:rsid w:val="6CB63947"/>
    <w:rsid w:val="6CBE2146"/>
    <w:rsid w:val="6CBE5E5C"/>
    <w:rsid w:val="6CE1296D"/>
    <w:rsid w:val="6D025B43"/>
    <w:rsid w:val="6D047306"/>
    <w:rsid w:val="6D176285"/>
    <w:rsid w:val="6D1972E7"/>
    <w:rsid w:val="6D2F2EE9"/>
    <w:rsid w:val="6D3B0612"/>
    <w:rsid w:val="6D62741B"/>
    <w:rsid w:val="6D673144"/>
    <w:rsid w:val="6DD16906"/>
    <w:rsid w:val="6DD54FF9"/>
    <w:rsid w:val="6E012965"/>
    <w:rsid w:val="6E054127"/>
    <w:rsid w:val="6E0E0E7A"/>
    <w:rsid w:val="6E1D0376"/>
    <w:rsid w:val="6E204DD8"/>
    <w:rsid w:val="6E434A07"/>
    <w:rsid w:val="6E596C4E"/>
    <w:rsid w:val="6E6C2DAB"/>
    <w:rsid w:val="6E790B05"/>
    <w:rsid w:val="6E7F6F20"/>
    <w:rsid w:val="6E81236F"/>
    <w:rsid w:val="6EAB3BD4"/>
    <w:rsid w:val="6F0A37F4"/>
    <w:rsid w:val="6F3430F0"/>
    <w:rsid w:val="6F3A73F0"/>
    <w:rsid w:val="6F590E2F"/>
    <w:rsid w:val="6F6420DD"/>
    <w:rsid w:val="6F65604D"/>
    <w:rsid w:val="6F9A108B"/>
    <w:rsid w:val="6FBF3ABB"/>
    <w:rsid w:val="6FC410A2"/>
    <w:rsid w:val="6FCC2FF8"/>
    <w:rsid w:val="6FD73363"/>
    <w:rsid w:val="6FF46CB0"/>
    <w:rsid w:val="70113A6A"/>
    <w:rsid w:val="70147764"/>
    <w:rsid w:val="701854A2"/>
    <w:rsid w:val="70271038"/>
    <w:rsid w:val="702E0B10"/>
    <w:rsid w:val="702F6752"/>
    <w:rsid w:val="70326FC8"/>
    <w:rsid w:val="70467A7B"/>
    <w:rsid w:val="707657C7"/>
    <w:rsid w:val="708C3F95"/>
    <w:rsid w:val="709743FB"/>
    <w:rsid w:val="70A1528F"/>
    <w:rsid w:val="70A82459"/>
    <w:rsid w:val="70D008A4"/>
    <w:rsid w:val="70FE612E"/>
    <w:rsid w:val="71116F8B"/>
    <w:rsid w:val="7143053B"/>
    <w:rsid w:val="7148347E"/>
    <w:rsid w:val="71846805"/>
    <w:rsid w:val="71930978"/>
    <w:rsid w:val="71C4398B"/>
    <w:rsid w:val="71CC50AE"/>
    <w:rsid w:val="71D01F89"/>
    <w:rsid w:val="71F1370F"/>
    <w:rsid w:val="71F861E7"/>
    <w:rsid w:val="720067A2"/>
    <w:rsid w:val="72071EA4"/>
    <w:rsid w:val="7226550D"/>
    <w:rsid w:val="722F0608"/>
    <w:rsid w:val="72322D33"/>
    <w:rsid w:val="72323DD5"/>
    <w:rsid w:val="728D0C76"/>
    <w:rsid w:val="729726C2"/>
    <w:rsid w:val="729D6E33"/>
    <w:rsid w:val="72A05449"/>
    <w:rsid w:val="72BC4F36"/>
    <w:rsid w:val="72D149F2"/>
    <w:rsid w:val="72EA6978"/>
    <w:rsid w:val="72EE57AC"/>
    <w:rsid w:val="72FD4F80"/>
    <w:rsid w:val="73044081"/>
    <w:rsid w:val="733F2D28"/>
    <w:rsid w:val="734B045B"/>
    <w:rsid w:val="736B748E"/>
    <w:rsid w:val="737E51BF"/>
    <w:rsid w:val="738B6658"/>
    <w:rsid w:val="739B3F04"/>
    <w:rsid w:val="73A53A8F"/>
    <w:rsid w:val="73C1564D"/>
    <w:rsid w:val="73DE1431"/>
    <w:rsid w:val="73ED6F1D"/>
    <w:rsid w:val="73FF1228"/>
    <w:rsid w:val="74076162"/>
    <w:rsid w:val="740B7F6E"/>
    <w:rsid w:val="741E13F0"/>
    <w:rsid w:val="743C4836"/>
    <w:rsid w:val="745E1BF4"/>
    <w:rsid w:val="74706A3D"/>
    <w:rsid w:val="747626C9"/>
    <w:rsid w:val="748C1FEC"/>
    <w:rsid w:val="74A16B6D"/>
    <w:rsid w:val="74BF4E0E"/>
    <w:rsid w:val="74C10D01"/>
    <w:rsid w:val="74C25E34"/>
    <w:rsid w:val="74E55BB8"/>
    <w:rsid w:val="74FA7C20"/>
    <w:rsid w:val="750C6A4F"/>
    <w:rsid w:val="75181C76"/>
    <w:rsid w:val="751A19D1"/>
    <w:rsid w:val="751D6787"/>
    <w:rsid w:val="752212BB"/>
    <w:rsid w:val="752C5811"/>
    <w:rsid w:val="7549444C"/>
    <w:rsid w:val="755C2A45"/>
    <w:rsid w:val="755D1C2D"/>
    <w:rsid w:val="7571706E"/>
    <w:rsid w:val="75A51D7A"/>
    <w:rsid w:val="75A73FDA"/>
    <w:rsid w:val="75C54C30"/>
    <w:rsid w:val="75D66F59"/>
    <w:rsid w:val="75E823D8"/>
    <w:rsid w:val="75EA5EFA"/>
    <w:rsid w:val="761313D0"/>
    <w:rsid w:val="76194CAE"/>
    <w:rsid w:val="763706C9"/>
    <w:rsid w:val="763A3F76"/>
    <w:rsid w:val="76487593"/>
    <w:rsid w:val="764B084F"/>
    <w:rsid w:val="76602E69"/>
    <w:rsid w:val="766B381E"/>
    <w:rsid w:val="76A80DE9"/>
    <w:rsid w:val="772303A5"/>
    <w:rsid w:val="77324FF0"/>
    <w:rsid w:val="773349EF"/>
    <w:rsid w:val="773715F9"/>
    <w:rsid w:val="773B0F1B"/>
    <w:rsid w:val="77455C3E"/>
    <w:rsid w:val="77487D03"/>
    <w:rsid w:val="77885BEC"/>
    <w:rsid w:val="77A67F76"/>
    <w:rsid w:val="77BD7076"/>
    <w:rsid w:val="77C46629"/>
    <w:rsid w:val="77C64D84"/>
    <w:rsid w:val="77E32A95"/>
    <w:rsid w:val="77EC42C8"/>
    <w:rsid w:val="782C678E"/>
    <w:rsid w:val="783177B0"/>
    <w:rsid w:val="784E1316"/>
    <w:rsid w:val="785F2135"/>
    <w:rsid w:val="78612146"/>
    <w:rsid w:val="78684112"/>
    <w:rsid w:val="78D407EF"/>
    <w:rsid w:val="78DD6D63"/>
    <w:rsid w:val="78F3765C"/>
    <w:rsid w:val="78F63DFE"/>
    <w:rsid w:val="78F7198C"/>
    <w:rsid w:val="78FB52DB"/>
    <w:rsid w:val="790920AE"/>
    <w:rsid w:val="79464C25"/>
    <w:rsid w:val="79497E52"/>
    <w:rsid w:val="795544EA"/>
    <w:rsid w:val="796512CB"/>
    <w:rsid w:val="79742C33"/>
    <w:rsid w:val="798D401A"/>
    <w:rsid w:val="79946E4A"/>
    <w:rsid w:val="79993294"/>
    <w:rsid w:val="79A25BD4"/>
    <w:rsid w:val="79A560B8"/>
    <w:rsid w:val="79E70C9B"/>
    <w:rsid w:val="7A3512F5"/>
    <w:rsid w:val="7A3D498D"/>
    <w:rsid w:val="7A3E1EA1"/>
    <w:rsid w:val="7A407A56"/>
    <w:rsid w:val="7A6515C6"/>
    <w:rsid w:val="7A6E5B6F"/>
    <w:rsid w:val="7AAF6414"/>
    <w:rsid w:val="7ACB305B"/>
    <w:rsid w:val="7AD16D1A"/>
    <w:rsid w:val="7AD922C8"/>
    <w:rsid w:val="7AE0086D"/>
    <w:rsid w:val="7B0421FF"/>
    <w:rsid w:val="7B1A4F71"/>
    <w:rsid w:val="7B29556A"/>
    <w:rsid w:val="7B534F07"/>
    <w:rsid w:val="7B7A2B05"/>
    <w:rsid w:val="7B7B389A"/>
    <w:rsid w:val="7B870239"/>
    <w:rsid w:val="7BB007B5"/>
    <w:rsid w:val="7BBE2715"/>
    <w:rsid w:val="7C373689"/>
    <w:rsid w:val="7C3743CF"/>
    <w:rsid w:val="7C43413F"/>
    <w:rsid w:val="7C466302"/>
    <w:rsid w:val="7C4908F8"/>
    <w:rsid w:val="7C5B2AC0"/>
    <w:rsid w:val="7C6F599F"/>
    <w:rsid w:val="7C740F3A"/>
    <w:rsid w:val="7CC33461"/>
    <w:rsid w:val="7CCB1159"/>
    <w:rsid w:val="7CD36E26"/>
    <w:rsid w:val="7D331A51"/>
    <w:rsid w:val="7D3716BA"/>
    <w:rsid w:val="7D5344D7"/>
    <w:rsid w:val="7D64657C"/>
    <w:rsid w:val="7D707558"/>
    <w:rsid w:val="7D8637E6"/>
    <w:rsid w:val="7DBA3C38"/>
    <w:rsid w:val="7DBB3FAB"/>
    <w:rsid w:val="7DBD0FC4"/>
    <w:rsid w:val="7DCA5EC0"/>
    <w:rsid w:val="7DCE1E50"/>
    <w:rsid w:val="7DE42CE9"/>
    <w:rsid w:val="7DE93301"/>
    <w:rsid w:val="7DF37098"/>
    <w:rsid w:val="7E0E1508"/>
    <w:rsid w:val="7E2C512A"/>
    <w:rsid w:val="7E4167AB"/>
    <w:rsid w:val="7E7447A9"/>
    <w:rsid w:val="7E8211A9"/>
    <w:rsid w:val="7E8A7839"/>
    <w:rsid w:val="7E8C1C18"/>
    <w:rsid w:val="7EA0404C"/>
    <w:rsid w:val="7EBA39EB"/>
    <w:rsid w:val="7EC11312"/>
    <w:rsid w:val="7ED17A8C"/>
    <w:rsid w:val="7ED63C44"/>
    <w:rsid w:val="7EEE28BB"/>
    <w:rsid w:val="7EF50178"/>
    <w:rsid w:val="7F141B03"/>
    <w:rsid w:val="7F312D47"/>
    <w:rsid w:val="7F35457E"/>
    <w:rsid w:val="7F3F7F0D"/>
    <w:rsid w:val="7F4B1CCB"/>
    <w:rsid w:val="7F4F0110"/>
    <w:rsid w:val="7F5756F8"/>
    <w:rsid w:val="7F595269"/>
    <w:rsid w:val="7F612798"/>
    <w:rsid w:val="7F746BE6"/>
    <w:rsid w:val="7F7A5B24"/>
    <w:rsid w:val="7F8F228F"/>
    <w:rsid w:val="7FCA040F"/>
    <w:rsid w:val="7FF37E88"/>
    <w:rsid w:val="7FF944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2"/>
    <w:basedOn w:val="1"/>
    <w:next w:val="1"/>
    <w:qFormat/>
    <w:uiPriority w:val="1"/>
    <w:pPr>
      <w:ind w:left="811"/>
      <w:outlineLvl w:val="1"/>
    </w:pPr>
    <w:rPr>
      <w:b/>
      <w:sz w:val="24"/>
      <w:szCs w:val="28"/>
    </w:rPr>
  </w:style>
  <w:style w:type="paragraph" w:styleId="5">
    <w:name w:val="heading 3"/>
    <w:basedOn w:val="1"/>
    <w:next w:val="1"/>
    <w:qFormat/>
    <w:uiPriority w:val="1"/>
    <w:pPr>
      <w:ind w:left="878"/>
      <w:outlineLvl w:val="3"/>
    </w:pPr>
    <w:rPr>
      <w:rFonts w:ascii="宋体" w:hAnsi="宋体" w:eastAsia="宋体" w:cs="宋体"/>
      <w:b/>
      <w:bCs/>
      <w:sz w:val="24"/>
      <w:szCs w:val="24"/>
      <w:lang w:val="zh-CN" w:eastAsia="zh-CN" w:bidi="zh-CN"/>
    </w:rPr>
  </w:style>
  <w:style w:type="character" w:default="1" w:styleId="20">
    <w:name w:val="Default Paragraph Font"/>
    <w:link w:val="21"/>
    <w:semiHidden/>
    <w:unhideWhenUsed/>
    <w:qFormat/>
    <w:uiPriority w:val="1"/>
    <w:rPr>
      <w:rFonts w:ascii="Tahoma" w:hAnsi="Tahoma"/>
      <w:sz w:val="24"/>
      <w:szCs w:val="20"/>
    </w:rPr>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宋体" w:cs="宋体" w:eastAsiaTheme="minorHAnsi"/>
      <w:color w:val="000000"/>
      <w:sz w:val="24"/>
      <w:szCs w:val="24"/>
      <w:lang w:val="en-US" w:eastAsia="zh-CN" w:bidi="ar-SA"/>
    </w:rPr>
  </w:style>
  <w:style w:type="paragraph" w:styleId="6">
    <w:name w:val="Normal Indent"/>
    <w:basedOn w:val="1"/>
    <w:qFormat/>
    <w:uiPriority w:val="0"/>
    <w:pPr>
      <w:ind w:firstLine="420" w:firstLineChars="200"/>
    </w:pPr>
  </w:style>
  <w:style w:type="paragraph" w:styleId="7">
    <w:name w:val="caption"/>
    <w:basedOn w:val="1"/>
    <w:next w:val="1"/>
    <w:qFormat/>
    <w:uiPriority w:val="0"/>
    <w:rPr>
      <w:rFonts w:ascii="Arial" w:hAnsi="Arial" w:eastAsia="黑体" w:cs="Arial"/>
      <w:sz w:val="20"/>
    </w:rPr>
  </w:style>
  <w:style w:type="paragraph" w:styleId="8">
    <w:name w:val="Body Text 3"/>
    <w:basedOn w:val="1"/>
    <w:unhideWhenUsed/>
    <w:qFormat/>
    <w:uiPriority w:val="99"/>
    <w:pPr>
      <w:spacing w:line="360" w:lineRule="auto"/>
    </w:pPr>
    <w:rPr>
      <w:rFonts w:ascii="宋体"/>
      <w:sz w:val="30"/>
    </w:rPr>
  </w:style>
  <w:style w:type="paragraph" w:styleId="9">
    <w:name w:val="Body Text"/>
    <w:basedOn w:val="1"/>
    <w:qFormat/>
    <w:uiPriority w:val="0"/>
    <w:rPr>
      <w:sz w:val="24"/>
    </w:rPr>
  </w:style>
  <w:style w:type="paragraph" w:styleId="10">
    <w:name w:val="Body Text Indent"/>
    <w:basedOn w:val="1"/>
    <w:qFormat/>
    <w:uiPriority w:val="0"/>
    <w:pPr>
      <w:spacing w:line="320" w:lineRule="exact"/>
      <w:ind w:left="19" w:firstLine="420" w:firstLineChars="175"/>
    </w:pPr>
    <w:rPr>
      <w:rFonts w:ascii="宋体" w:hAnsi="宋体"/>
      <w:sz w:val="24"/>
    </w:rPr>
  </w:style>
  <w:style w:type="paragraph" w:styleId="11">
    <w:name w:val="Date"/>
    <w:basedOn w:val="1"/>
    <w:next w:val="1"/>
    <w:unhideWhenUsed/>
    <w:qFormat/>
    <w:uiPriority w:val="99"/>
    <w:pPr>
      <w:autoSpaceDE w:val="0"/>
      <w:autoSpaceDN w:val="0"/>
      <w:adjustRightInd w:val="0"/>
      <w:spacing w:before="100" w:after="100"/>
    </w:pPr>
    <w:rPr>
      <w:rFonts w:ascii="System" w:eastAsia="System"/>
      <w:kern w:val="0"/>
      <w:sz w:val="24"/>
      <w:szCs w:val="20"/>
    </w:rPr>
  </w:style>
  <w:style w:type="paragraph" w:styleId="12">
    <w:name w:val="Balloon Text"/>
    <w:basedOn w:val="1"/>
    <w:link w:val="32"/>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unhideWhenUsed/>
    <w:qFormat/>
    <w:uiPriority w:val="39"/>
  </w:style>
  <w:style w:type="paragraph" w:styleId="16">
    <w:name w:val="List"/>
    <w:basedOn w:val="1"/>
    <w:unhideWhenUsed/>
    <w:qFormat/>
    <w:uiPriority w:val="99"/>
    <w:pPr>
      <w:ind w:left="420" w:hanging="420"/>
    </w:pPr>
  </w:style>
  <w:style w:type="paragraph" w:styleId="17">
    <w:name w:val="Normal (Web)"/>
    <w:basedOn w:val="1"/>
    <w:qFormat/>
    <w:uiPriority w:val="0"/>
    <w:pPr>
      <w:widowControl/>
      <w:spacing w:before="100" w:beforeAutospacing="1" w:after="100" w:afterAutospacing="1"/>
      <w:jc w:val="left"/>
    </w:pPr>
    <w:rPr>
      <w:rFonts w:ascii="Arial Unicode MS" w:hAnsi="Arial Unicode MS" w:eastAsia="Times New Roman"/>
      <w:kern w:val="0"/>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
    <w:name w:val="默认段落字体 Para Char Char Char Char Char Char Char Char Char Char"/>
    <w:basedOn w:val="1"/>
    <w:link w:val="20"/>
    <w:qFormat/>
    <w:uiPriority w:val="0"/>
    <w:rPr>
      <w:rFonts w:ascii="Tahoma" w:hAnsi="Tahoma"/>
      <w:sz w:val="24"/>
      <w:szCs w:val="20"/>
    </w:rPr>
  </w:style>
  <w:style w:type="character" w:styleId="22">
    <w:name w:val="Strong"/>
    <w:basedOn w:val="20"/>
    <w:qFormat/>
    <w:uiPriority w:val="22"/>
    <w:rPr>
      <w:b/>
    </w:rPr>
  </w:style>
  <w:style w:type="character" w:styleId="23">
    <w:name w:val="page number"/>
    <w:basedOn w:val="20"/>
    <w:unhideWhenUsed/>
    <w:qFormat/>
    <w:uiPriority w:val="99"/>
  </w:style>
  <w:style w:type="character" w:styleId="24">
    <w:name w:val="Emphasis"/>
    <w:basedOn w:val="20"/>
    <w:qFormat/>
    <w:uiPriority w:val="0"/>
    <w:rPr>
      <w:i/>
    </w:rPr>
  </w:style>
  <w:style w:type="character" w:styleId="25">
    <w:name w:val="Hyperlink"/>
    <w:basedOn w:val="20"/>
    <w:qFormat/>
    <w:uiPriority w:val="0"/>
    <w:rPr>
      <w:color w:val="0000FF"/>
      <w:u w:val="single"/>
    </w:rPr>
  </w:style>
  <w:style w:type="character" w:customStyle="1" w:styleId="26">
    <w:name w:val="font11"/>
    <w:basedOn w:val="20"/>
    <w:qFormat/>
    <w:uiPriority w:val="0"/>
    <w:rPr>
      <w:rFonts w:hint="eastAsia" w:ascii="宋体" w:hAnsi="宋体" w:eastAsia="宋体" w:cs="宋体"/>
      <w:color w:val="000000"/>
      <w:sz w:val="21"/>
      <w:szCs w:val="21"/>
      <w:u w:val="none"/>
    </w:rPr>
  </w:style>
  <w:style w:type="character" w:customStyle="1" w:styleId="27">
    <w:name w:val="font21"/>
    <w:basedOn w:val="20"/>
    <w:qFormat/>
    <w:uiPriority w:val="0"/>
    <w:rPr>
      <w:rFonts w:hint="default" w:ascii="Times New Roman" w:hAnsi="Times New Roman" w:cs="Times New Roman"/>
      <w:color w:val="000000"/>
      <w:sz w:val="21"/>
      <w:szCs w:val="21"/>
      <w:u w:val="none"/>
    </w:rPr>
  </w:style>
  <w:style w:type="character" w:customStyle="1" w:styleId="28">
    <w:name w:val="页眉 Char"/>
    <w:basedOn w:val="20"/>
    <w:link w:val="14"/>
    <w:semiHidden/>
    <w:qFormat/>
    <w:uiPriority w:val="0"/>
    <w:rPr>
      <w:kern w:val="2"/>
      <w:sz w:val="18"/>
      <w:szCs w:val="18"/>
    </w:rPr>
  </w:style>
  <w:style w:type="character" w:customStyle="1" w:styleId="29">
    <w:name w:val="页脚 Char"/>
    <w:basedOn w:val="20"/>
    <w:link w:val="13"/>
    <w:qFormat/>
    <w:uiPriority w:val="99"/>
    <w:rPr>
      <w:kern w:val="2"/>
      <w:sz w:val="18"/>
      <w:szCs w:val="18"/>
    </w:rPr>
  </w:style>
  <w:style w:type="paragraph" w:customStyle="1" w:styleId="30">
    <w:name w:val="样式11"/>
    <w:basedOn w:val="1"/>
    <w:qFormat/>
    <w:uiPriority w:val="0"/>
    <w:pPr>
      <w:ind w:firstLine="560" w:firstLineChars="200"/>
    </w:pPr>
    <w:rPr>
      <w:kern w:val="10"/>
      <w:sz w:val="28"/>
    </w:rPr>
  </w:style>
  <w:style w:type="paragraph" w:customStyle="1" w:styleId="31">
    <w:name w:val="表内容"/>
    <w:basedOn w:val="1"/>
    <w:next w:val="1"/>
    <w:qFormat/>
    <w:uiPriority w:val="0"/>
    <w:pPr>
      <w:spacing w:line="320" w:lineRule="exact"/>
      <w:jc w:val="center"/>
    </w:pPr>
    <w:rPr>
      <w:szCs w:val="20"/>
    </w:rPr>
  </w:style>
  <w:style w:type="character" w:customStyle="1" w:styleId="32">
    <w:name w:val="批注框文本 Char"/>
    <w:basedOn w:val="20"/>
    <w:link w:val="12"/>
    <w:semiHidden/>
    <w:qFormat/>
    <w:uiPriority w:val="99"/>
    <w:rPr>
      <w:kern w:val="2"/>
      <w:sz w:val="18"/>
      <w:szCs w:val="18"/>
    </w:rPr>
  </w:style>
  <w:style w:type="paragraph" w:customStyle="1" w:styleId="33">
    <w:name w:val="Body Text 21"/>
    <w:basedOn w:val="1"/>
    <w:qFormat/>
    <w:uiPriority w:val="0"/>
    <w:pPr>
      <w:adjustRightInd w:val="0"/>
      <w:textAlignment w:val="baseline"/>
    </w:pPr>
    <w:rPr>
      <w:rFonts w:ascii="仿宋_GB2312" w:eastAsia="仿宋体"/>
      <w:sz w:val="24"/>
      <w:szCs w:val="20"/>
    </w:rPr>
  </w:style>
  <w:style w:type="paragraph" w:customStyle="1" w:styleId="3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35">
    <w:name w:val="样式1"/>
    <w:basedOn w:val="1"/>
    <w:qFormat/>
    <w:uiPriority w:val="0"/>
    <w:rPr>
      <w:szCs w:val="20"/>
    </w:rPr>
  </w:style>
  <w:style w:type="paragraph" w:customStyle="1" w:styleId="36">
    <w:name w:val="xl28"/>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color w:val="000000"/>
      <w:kern w:val="0"/>
      <w:szCs w:val="21"/>
    </w:rPr>
  </w:style>
  <w:style w:type="paragraph" w:customStyle="1" w:styleId="37">
    <w:name w:val="小四宋居中1.0"/>
    <w:basedOn w:val="1"/>
    <w:next w:val="1"/>
    <w:qFormat/>
    <w:uiPriority w:val="0"/>
    <w:pPr>
      <w:autoSpaceDE w:val="0"/>
      <w:autoSpaceDN w:val="0"/>
      <w:adjustRightInd w:val="0"/>
      <w:jc w:val="center"/>
    </w:pPr>
    <w:rPr>
      <w:rFonts w:ascii="宋体" w:hAnsi="宋体"/>
      <w:sz w:val="24"/>
    </w:rPr>
  </w:style>
  <w:style w:type="paragraph" w:customStyle="1" w:styleId="38">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9">
    <w:name w:val="font01"/>
    <w:basedOn w:val="20"/>
    <w:qFormat/>
    <w:uiPriority w:val="0"/>
    <w:rPr>
      <w:rFonts w:hint="default" w:ascii="Times New Roman" w:hAnsi="Times New Roman" w:cs="Times New Roman"/>
      <w:b/>
      <w:color w:val="000000"/>
      <w:sz w:val="18"/>
      <w:szCs w:val="18"/>
      <w:u w:val="none"/>
    </w:rPr>
  </w:style>
  <w:style w:type="character" w:customStyle="1" w:styleId="40">
    <w:name w:val="font61"/>
    <w:basedOn w:val="20"/>
    <w:qFormat/>
    <w:uiPriority w:val="0"/>
    <w:rPr>
      <w:rFonts w:hint="eastAsia" w:ascii="宋体" w:hAnsi="宋体" w:eastAsia="宋体" w:cs="宋体"/>
      <w:b/>
      <w:color w:val="000000"/>
      <w:sz w:val="18"/>
      <w:szCs w:val="18"/>
      <w:u w:val="none"/>
    </w:rPr>
  </w:style>
  <w:style w:type="character" w:customStyle="1" w:styleId="41">
    <w:name w:val="font81"/>
    <w:basedOn w:val="20"/>
    <w:qFormat/>
    <w:uiPriority w:val="0"/>
    <w:rPr>
      <w:rFonts w:hint="default" w:ascii="Times New Roman" w:hAnsi="Times New Roman" w:cs="Times New Roman"/>
      <w:color w:val="000000"/>
      <w:sz w:val="18"/>
      <w:szCs w:val="18"/>
      <w:u w:val="none"/>
      <w:vertAlign w:val="superscript"/>
    </w:rPr>
  </w:style>
  <w:style w:type="character" w:customStyle="1" w:styleId="42">
    <w:name w:val="font41"/>
    <w:basedOn w:val="20"/>
    <w:qFormat/>
    <w:uiPriority w:val="0"/>
    <w:rPr>
      <w:rFonts w:hint="eastAsia" w:ascii="宋体" w:hAnsi="宋体" w:eastAsia="宋体" w:cs="宋体"/>
      <w:color w:val="000000"/>
      <w:sz w:val="18"/>
      <w:szCs w:val="18"/>
      <w:u w:val="none"/>
      <w:vertAlign w:val="superscript"/>
    </w:rPr>
  </w:style>
  <w:style w:type="paragraph" w:customStyle="1" w:styleId="43">
    <w:name w:val="表头"/>
    <w:basedOn w:val="1"/>
    <w:qFormat/>
    <w:uiPriority w:val="0"/>
    <w:pPr>
      <w:adjustRightInd w:val="0"/>
      <w:spacing w:line="320" w:lineRule="atLeast"/>
      <w:jc w:val="center"/>
      <w:textAlignment w:val="baseline"/>
    </w:pPr>
    <w:rPr>
      <w:rFonts w:eastAsia="黑体"/>
      <w:spacing w:val="-10"/>
      <w:kern w:val="0"/>
    </w:rPr>
  </w:style>
  <w:style w:type="paragraph" w:customStyle="1" w:styleId="44">
    <w:name w:val="默认段落字体 Para Char"/>
    <w:basedOn w:val="1"/>
    <w:qFormat/>
    <w:uiPriority w:val="0"/>
    <w:rPr>
      <w:sz w:val="24"/>
      <w:szCs w:val="24"/>
    </w:rPr>
  </w:style>
  <w:style w:type="paragraph" w:customStyle="1" w:styleId="45">
    <w:name w:val="表格文字"/>
    <w:basedOn w:val="1"/>
    <w:qFormat/>
    <w:uiPriority w:val="0"/>
    <w:pPr>
      <w:jc w:val="center"/>
    </w:pPr>
    <w:rPr>
      <w:rFonts w:ascii="仿宋_GB2312" w:hAnsi="Arial Black" w:eastAsia="仿宋_GB2312"/>
      <w:kern w:val="44"/>
      <w:sz w:val="24"/>
    </w:rPr>
  </w:style>
  <w:style w:type="character" w:customStyle="1" w:styleId="46">
    <w:name w:val="font31"/>
    <w:basedOn w:val="20"/>
    <w:qFormat/>
    <w:uiPriority w:val="0"/>
    <w:rPr>
      <w:rFonts w:hint="default" w:ascii="Times New Roman" w:hAnsi="Times New Roman" w:cs="Times New Roman"/>
      <w:b/>
      <w:color w:val="000000"/>
      <w:sz w:val="18"/>
      <w:szCs w:val="18"/>
      <w:u w:val="none"/>
    </w:rPr>
  </w:style>
  <w:style w:type="paragraph" w:customStyle="1" w:styleId="47">
    <w:name w:val="Table Paragraph"/>
    <w:basedOn w:val="1"/>
    <w:qFormat/>
    <w:uiPriority w:val="1"/>
    <w:pPr>
      <w:jc w:val="center"/>
    </w:pPr>
    <w:rPr>
      <w:rFonts w:ascii="Noto Sans CJK JP Regular" w:hAnsi="Noto Sans CJK JP Regular" w:eastAsia="Noto Sans CJK JP Regular" w:cs="Noto Sans CJK JP Regular"/>
    </w:rPr>
  </w:style>
  <w:style w:type="paragraph" w:styleId="48">
    <w:name w:val="List Paragraph"/>
    <w:basedOn w:val="1"/>
    <w:qFormat/>
    <w:uiPriority w:val="1"/>
    <w:pPr>
      <w:spacing w:line="468" w:lineRule="exact"/>
      <w:ind w:left="817" w:hanging="420"/>
    </w:pPr>
    <w:rPr>
      <w:rFonts w:ascii="Noto Sans CJK JP Regular" w:hAnsi="Noto Sans CJK JP Regular" w:eastAsia="Noto Sans CJK JP Regular" w:cs="Noto Sans CJK JP Regular"/>
    </w:rPr>
  </w:style>
  <w:style w:type="paragraph" w:customStyle="1" w:styleId="49">
    <w:name w:val="表格内容紧缩"/>
    <w:basedOn w:val="50"/>
    <w:qFormat/>
    <w:uiPriority w:val="0"/>
    <w:rPr>
      <w:snapToGrid/>
      <w:spacing w:val="-20"/>
      <w:sz w:val="20"/>
      <w:szCs w:val="20"/>
    </w:rPr>
  </w:style>
  <w:style w:type="paragraph" w:customStyle="1" w:styleId="50">
    <w:name w:val="表格内容"/>
    <w:basedOn w:val="1"/>
    <w:next w:val="1"/>
    <w:link w:val="54"/>
    <w:qFormat/>
    <w:uiPriority w:val="0"/>
    <w:pPr>
      <w:adjustRightInd w:val="0"/>
      <w:snapToGrid w:val="0"/>
      <w:jc w:val="center"/>
    </w:pPr>
    <w:rPr>
      <w:snapToGrid w:val="0"/>
      <w:kern w:val="0"/>
      <w:sz w:val="28"/>
      <w:szCs w:val="28"/>
    </w:rPr>
  </w:style>
  <w:style w:type="character" w:customStyle="1" w:styleId="51">
    <w:name w:val="font51"/>
    <w:basedOn w:val="20"/>
    <w:qFormat/>
    <w:uiPriority w:val="0"/>
    <w:rPr>
      <w:rFonts w:hint="eastAsia" w:ascii="宋体" w:hAnsi="宋体" w:eastAsia="宋体" w:cs="宋体"/>
      <w:color w:val="FF0000"/>
      <w:sz w:val="18"/>
      <w:szCs w:val="18"/>
      <w:u w:val="none"/>
    </w:rPr>
  </w:style>
  <w:style w:type="paragraph" w:customStyle="1" w:styleId="52">
    <w:name w:val="表文字"/>
    <w:basedOn w:val="1"/>
    <w:qFormat/>
    <w:uiPriority w:val="0"/>
    <w:pPr>
      <w:jc w:val="center"/>
    </w:pPr>
    <w:rPr>
      <w:szCs w:val="21"/>
    </w:rPr>
  </w:style>
  <w:style w:type="paragraph" w:customStyle="1" w:styleId="53">
    <w:name w:val="Normal"/>
    <w:qFormat/>
    <w:uiPriority w:val="0"/>
    <w:pPr>
      <w:jc w:val="both"/>
    </w:pPr>
    <w:rPr>
      <w:rFonts w:ascii="Times New Roman" w:hAnsi="Times New Roman" w:eastAsia="宋体" w:cs="Times New Roman"/>
      <w:kern w:val="2"/>
      <w:sz w:val="21"/>
      <w:szCs w:val="21"/>
      <w:lang w:val="en-US" w:eastAsia="zh-CN" w:bidi="ar-SA"/>
    </w:rPr>
  </w:style>
  <w:style w:type="character" w:customStyle="1" w:styleId="54">
    <w:name w:val="表格内容 Char"/>
    <w:link w:val="50"/>
    <w:qFormat/>
    <w:uiPriority w:val="0"/>
    <w:rPr>
      <w:snapToGrid w:val="0"/>
      <w:kern w:val="0"/>
      <w:sz w:val="28"/>
      <w:szCs w:val="28"/>
    </w:rPr>
  </w:style>
  <w:style w:type="paragraph" w:customStyle="1" w:styleId="5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C72FE5-3F9B-4C41-8E0F-3592EB88CB91}">
  <ds:schemaRefs/>
</ds:datastoreItem>
</file>

<file path=docProps/app.xml><?xml version="1.0" encoding="utf-8"?>
<Properties xmlns="http://schemas.openxmlformats.org/officeDocument/2006/extended-properties" xmlns:vt="http://schemas.openxmlformats.org/officeDocument/2006/docPropsVTypes">
  <Template>Normal.dotm</Template>
  <Pages>26</Pages>
  <Words>9233</Words>
  <Characters>10842</Characters>
  <Lines>80</Lines>
  <Paragraphs>22</Paragraphs>
  <TotalTime>2</TotalTime>
  <ScaleCrop>false</ScaleCrop>
  <LinksUpToDate>false</LinksUpToDate>
  <CharactersWithSpaces>11119</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2015-11-04T00:32:00Z</dcterms:created>
  <dc:creator>Administrator</dc:creator>
  <cp:lastModifiedBy>卢静</cp:lastModifiedBy>
  <cp:lastPrinted>2022-07-11T02:00:00Z</cp:lastPrinted>
  <dcterms:modified xsi:type="dcterms:W3CDTF">2022-07-16T04:19:42Z</dcterms:modified>
  <dc:title>建设项目“三同时”竣工验收监测方案</dc:title>
  <cp:revision>481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423CA0B74875487693D24424BDDA86BC</vt:lpwstr>
  </property>
</Properties>
</file>